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YaHei"/>
          <w:b/>
          <w:color w:val="17365D"/>
          <w:sz w:val="38"/>
        </w:rPr>
        <w:t>TacEx 载玻片抓取项目周报</w:t>
      </w:r>
    </w:p>
    <w:p>
      <w:pPr>
        <w:spacing w:after="200"/>
        <w:jc w:val="center"/>
      </w:pPr>
      <w:r>
        <w:rPr>
          <w:rFonts w:ascii="Arial" w:hAnsi="Arial" w:eastAsia="Microsoft YaHei"/>
          <w:sz w:val="22"/>
        </w:rPr>
        <w:t>周期：2026年8月20日—2026年8月26日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一、本周工作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围绕冻结Flow Matching BC开展三组门控DSRL/SAC在线训练，分别验证标准entropy backup、关闭backup entropy，以及终止修复与平衡回放方案。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保持BC checkpoint冻结，DSRL输入使用BC双路视觉编码、机器人状态、视觉位姿预测、BC动作摘要和剩余时间，不使用relative_object_pos、object_rot6d或仿真物体真值。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修复SAC将超时后的自动重置观测用于价值自举的问题，并加入终止样本平衡回放、剩余时间观测和晚期无进展惩罚。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截至8月26日，训练1/2/3累计成功率分别为53.7%、49.9%和55.6%；训练3暂时最好，但三条训练均未稳定超过冻结BC的59%基线。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完成代码级复查，确认当前主要瓶颈来自失败类别不可辨识、终止回放只做二分类、单一门控限制全部动作残差，以及宏动作时间尺度下奖励归因不充分。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二、本周工作具体内容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2.1 冻结BC与视觉输入链路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本周DSRL继续使用outputs/lab_pick_flow_bc200_hardyaw_rotation_scratch/best.pt；该BC由100条数据、40轮从零训练获得，正式100回合验证成功59、破损12、掉落2、超时27。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训练和验证范围保持XY连续均匀±10 cm、yaw连续均匀±45°，载玻片破碎阈值保持4 N，本周未修改BC权重或破碎阈值。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确认仿真执行链路使用BC视觉旋转头预测的rot6d，不再用仿真物体朝向覆盖机械臂旋转动作。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BC checkpoint未包含demonstration_mode输入；DSRL观测同样不注入示范模式或成功/失败类别。失败类别仅用于环境终止、奖励和统计。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2.2 DSRL/SAC结构与本周改动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残差策略采用4段×10维物理动作残差加1维软门控，共41维；每段修正xyz、rot6d和夹爪宽度，冻结BC仍负责生成完整动作轨迹。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Actor和Critic均使用3层512维MLP，每层加入LayerNorm和ELU。Actor从近零残差初始化，避免训练开始即破坏BC行为。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超时在Gym接口中仍表现为truncated，但写入SAC replay时同时标记为terminal，避免从自动重置后的新回合观测继续进行Q值自举。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训练3加入25%终止样本最低采样比例、0.99宏步折扣、-40超时惩罚、剩余时间观测以及晚期无进展惩罚；BC本体始终冻结。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关闭backup entropy只移除target-Q中的熵项，Actor的熵正则与自动温度学习仍然保留，因此训练2并非完全关闭SAC entropy。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2.3 训练3相对前两条的具体改动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训练3不是从训练1或训练2续训，而是使用冻结BC重新初始化SAC，seed=45；前两条分别使用seed=42和seed=43。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配置项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训练1/2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训练3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改动目的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超时处理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未显式启用终止修复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显式</w:t>
              <w:br/>
              <w:t>--sac_terminal_timeouts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把失败超时作为terminal，禁止从自动reset观测进行Q值自举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终止回放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普通随机回放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至少25%终止样本</w:t>
              <w:br/>
              <w:t>--sac_terminal_sample_fraction 0.25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提高成功、破损和超时信号在SAC batch中的比例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SAC折扣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0.95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0.99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减少宏动作折扣造成的远期成功信号衰减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超时惩罚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-20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-40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降低通过等待到超时获得相对安全回报的倾向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晚期无进展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未启用或为0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系数0.25，进度50%后递增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对已经接触但长期没有抬升进展的轨迹施加压力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门控范围/初值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init=0.01，max=0.35，penalty=0.1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init=0.025，min=0.02，max=0.20，penalty=5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让残差从接近BC开始，并限制早期修正幅度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其余控制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action_repeat=2，chunk=16，4段物理残差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保持一致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隔离变量，确保差异主要来自终止、回放、奖励和门控设置</w:t>
            </w:r>
          </w:p>
        </w:tc>
      </w:tr>
    </w:tbl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训练3的设计目标是同时解决三类问题：超时自动reset导致的错误价值自举、终止失败样本过少，以及单一门控过大导致的残差不稳定。它并没有改变4 N破碎阈值，也没有解冻BC。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2.4 三组训练数据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实验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步数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回合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成功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破损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超时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其他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近8窗成功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训练1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40,740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1,558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837 / 53.7%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197 / 12.6%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427 / 27.4%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97 / 6.2%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54.0%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训练2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32,616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1,258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628 / 49.9%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191 / 15.2%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368 / 29.3%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71 / 5.6%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46.5%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sz w:val="16"/>
              </w:rPr>
              <w:t>训练3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24,270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934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519 / 55.6%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120 / 12.8%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250 / 26.8%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45 / 4.8%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54.7%</w:t>
            </w:r>
          </w:p>
        </w:tc>
      </w:tr>
    </w:tbl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训练3累计成功率55.6%，为三组最高；累计超时率26.8%，为三组最低。训练1最近8窗口平均成功率54.0%，训练2为46.5%，训练3为54.7%。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最近窗口通常只覆盖约18—21个回合，方差较大。例如训练3曾出现78.9%的窗口，但下一窗口回落至52.6%，不能据此认定已经收敛。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rl_three_run_outco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 w:eastAsia="Microsoft YaHei"/>
          <w:i/>
          <w:sz w:val="19"/>
        </w:rPr>
        <w:t>图1  三条DSRL/SAC训练的累计回合结果；虚线为冻结BC的59%成功率基线。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2.5 训练趋势与诊断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733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rl_recent_success_tre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 w:eastAsia="Microsoft YaHei"/>
          <w:i/>
          <w:sz w:val="19"/>
        </w:rPr>
        <w:t>图2  最近8个统计窗口的成功率变化，显示三组训练仍存在明显波动。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三条训练均正常运行，未出现Traceback、CUDA显存溢出或NaN/Inf；Critic loss保持有限，当前不属于数值发散。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训练1累计成功率53.7%，最近8窗口平均54.0%；最新单窗口下降至28.6%，但前序窗口多在50%—66.7%，目前按短期波动处理。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训练2累计成功率49.9%，整体表现最弱；关闭backup entropy没有形成稳定优势，说明仅修改熵备份不足以解决超时和位置失败。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训练3累计成功率55.6%，曾出现较高窗口，但累计破损率仍为12.8%、超时率26.8%，尚未形成持续上升趋势。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门控均值仍较低：训练1约0.0606、训练2约0.0382、训练3约0.0267。策略多数时间只施加很小残差，因此改进幅度受到限制。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三、代码审查与方案分析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奖励层面：破损、掉落、物体偏离和机械臂越界目前共享普通failure penalty，SAC无法从奖励中明确区分应减小夹取力还是修正抓取位置。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回放层面：TerminalBalancedRandomMemory只根据terminated进行二分类采样，没有分别保证成功、破损、位置失败和超时样本的比例。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动作层面：4段残差共用一个gate；当策略担心某一维引起破损时，降低gate会同时削弱位置、旋转和宽度修正，容易回退到接近BC的策略。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时间尺度层面：一个SAC动作会执行最多16个BC动作，每个动作重复2个物理步。终止奖励只在宏动作末端回传，使精确归因到某段位置或夹爪宽度残差较困难。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评估层面：训练窗口成功率样本量偏小。后续应使用相同的100个固定随机种子评估BC和各DSRL checkpoint，并按验证成功率选择best，而不是按训练reward或最后checkpoint选择。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四、潜在问题与风险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目前三条DSRL累计成功率均低于冻结BC正式验证的59%，不能宣称残差强化学习已经带来显著改进。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冻结BC基线和在线训练累计数据并非完全相同的一组随机种子；当前横向比较可用于判断趋势，最终结论仍需固定种子的独立100回合评估。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若只提高破损惩罚，策略可能通过减少闭合和残差来降低破损，却把失败转化为超时，造成表面安全但成功率不升。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训练环境仅使用单个视觉仿真实例，单步约5—6秒；完整200k步耗时很长，错误配置会带来较高时间成本。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当前代码工作树包含多项尚未统一提交的BC、环境和DSRL修改；正式上传前需要按功能拆分并完成回归测试。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五、下周安排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保持4 N破碎阈值和冻结BC不变，新增互斥终止标签：成功、破损、位置失败、超时，并记录掉落、越界、峰值力和各残差维度裁剪比例。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将回放改为按终止类别分层采样，避免终止样本中某一失败类型占比过高；同时保留足够的普通非终止过程样本。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拆分奖励：成功保持+120，位置失败约-25，超时约-35，破损约-50至-60；通过短训练确认不会诱导策略以超时回避破损。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门控采用单次训练内的渐进策略：前期gate上限0.20，积累足够终止样本后逐渐提高到0.30—0.35，同时降低门控惩罚；宽度残差保持较小范围。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在统一环境、奖励和随机范围下重新进行三个seed对照；分别在10k、25k和50k checkpoint使用相同100个随机种子独立验证。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验收目标为成功率至少比冻结BC高10个百分点，同时破损率不高于BC约2个百分点，并要求超时和位置失败持续下降。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六、数据与附件位置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冻结BC checkpoint：outputs/lab_pick_flow_bc200_hardyaw_rotation_scratch/best.pt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训练1日志：logs/skrl/lab_pick_slide/2026-08-23_13-07-39_sac_torch_dsrl_sac_flow_bc_encoded_physical_gated/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训练2日志：logs/skrl/lab_pick_slide/2026-08-23_18-10-28_sac_torch_dsrl_sac_flow_bc_encoded_physical_gated_no_backup_entropy_ln/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训练3日志：logs/skrl/lab_pick_slide/2026-08-24_17-48-34_sac_torch_dsrl_sac_flow_bc_encoded_physical_gated_terminal_timeouts_balanced_terminal/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本周图表：weekly_report_2026-08-26/assets/dsrl_three_run_outcomes.png、dsrl_recent_success_trends.png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既有任务场景视频：weekly_report_2026-08-19/assets/BC_success_example.mp4（仅用于展示任务场景，不作为本周DSRL定量结果）。</w:t>
      </w:r>
    </w:p>
    <w:sectPr w:rsidR="00FC693F" w:rsidRPr="0006063C" w:rsidSect="00034616"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