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Industry Income Trend Analysis &amp; Recommendations (2001–2034)</w:t>
      </w:r>
    </w:p>
    <w:p>
      <w:pPr>
        <w:pStyle w:val="Heading2"/>
      </w:pPr>
      <w:r>
        <w:t>1. Overview</w:t>
      </w:r>
    </w:p>
    <w:p>
      <w:r>
        <w:t>This report summarizes observed trends, projected patterns, and key insights on median monthly income (including CPF) across the top 8 industries in Singapore from 2001 to 2034. Using linear modeling, income forecasts from 2025 to 2034 were generated to support compensation benchmarking and long-term workforce planning.</w:t>
      </w:r>
    </w:p>
    <w:p>
      <w:pPr>
        <w:pStyle w:val="Heading2"/>
      </w:pPr>
      <w:r>
        <w:t>2. Trend Observations &amp; Interpretations</w:t>
      </w:r>
    </w:p>
    <w:p>
      <w:pPr>
        <w:pStyle w:val="Heading3"/>
      </w:pPr>
      <w:r>
        <w:t>Top-Tier Industries</w:t>
      </w:r>
    </w:p>
    <w:p>
      <w:r>
        <w:t>• Financial &amp; Insurance Services:</w:t>
        <w:br/>
        <w:t xml:space="preserve">  Consistently strong upward growth since 2001, with a sharp income rise post-2010. Forecasted to maintain the highest income level across all sectors into 2034.</w:t>
        <w:br/>
        <w:br/>
        <w:t>• Public Administration &amp; Education:</w:t>
        <w:br/>
        <w:t xml:space="preserve">  Demonstrates steady growth with observable dips during 2008–2010, 2019–2021, and 2022–2023. Overall trend remains positive, and projections show parity with Information &amp; Communications by 2034.</w:t>
        <w:br/>
        <w:br/>
        <w:t>• Information &amp; Communications:</w:t>
        <w:br/>
        <w:t xml:space="preserve">  Shows moderate increases from 2001, with a notable surge starting in 2016, likely driven by Singapore’s Smart Nation initiatives and rapid digitalization. Projections indicate it will remain a high-growth, high-income industry.</w:t>
      </w:r>
    </w:p>
    <w:p>
      <w:pPr>
        <w:pStyle w:val="Heading3"/>
      </w:pPr>
      <w:r>
        <w:t>Middle-Tier Industries</w:t>
      </w:r>
    </w:p>
    <w:p>
      <w:r>
        <w:t>• Professional Services:</w:t>
        <w:br/>
        <w:t xml:space="preserve">  Maintains stable, moderate income growth from 2001 to 2024. Forecast suggests continued upward trajectory at a predictable pace.</w:t>
        <w:br/>
        <w:br/>
        <w:t>• Manufacturing:</w:t>
        <w:br/>
        <w:t xml:space="preserve">  Modest growth observed over time, particularly after 2010. While not among the lowest-paying sectors, its income levels remain middle-tier and forecasted gains are steady but unremarkable.</w:t>
      </w:r>
    </w:p>
    <w:p>
      <w:pPr>
        <w:pStyle w:val="Heading3"/>
      </w:pPr>
      <w:r>
        <w:t>Lower-Tier Industries</w:t>
      </w:r>
    </w:p>
    <w:p>
      <w:r>
        <w:t>• Health &amp; Social Services:</w:t>
        <w:br/>
        <w:t xml:space="preserve">  Gradual and consistent income growth noted, though income levels remain on the lower end relative to other industries analyzed. Despite rising demand in healthcare services, it remains categorized in the lower income bracket.</w:t>
        <w:br/>
        <w:br/>
        <w:t>• Construction:</w:t>
        <w:br/>
        <w:t xml:space="preserve">  Persistent low-income trends with only minor growth throughout the historical timeline. Forecast reflects continued slow progress, underscoring the sector’s structural wage limitations.</w:t>
        <w:br/>
        <w:br/>
        <w:t>• Wholesale &amp; Retail Trade:</w:t>
        <w:br/>
        <w:t xml:space="preserve">  Flat trajectory until around 2012, with marginal gains afterward. Income levels remain modest, and future projections continue to trail other industries — likely influenced by automation and retail disruption.</w:t>
      </w:r>
    </w:p>
    <w:p>
      <w:pPr>
        <w:pStyle w:val="Heading2"/>
      </w:pPr>
      <w:r>
        <w:t>3. Anomalies</w:t>
      </w:r>
    </w:p>
    <w:p>
      <w:r>
        <w:t>• Public Administration &amp; Education shows minor dips during 2008–2010, 2019–2021, and 2022–2023.</w:t>
        <w:br/>
        <w:t>• Information &amp; Communications exhibits a clear and sharp rise from 2016 onward.</w:t>
        <w:br/>
        <w:t>• Retail sector growth slows down significantly post-2020, likely due to pandemic and digital disruption.</w:t>
      </w:r>
    </w:p>
    <w:p>
      <w:pPr>
        <w:pStyle w:val="Heading2"/>
      </w:pPr>
      <w:r>
        <w:t>4. Model Assumption</w:t>
      </w:r>
    </w:p>
    <w:p>
      <w:r>
        <w:t>The chart and projections are based on a linear regression model (lm) applied to each industry:</w:t>
        <w:br/>
        <w:t>• Forecasts assume the continuation of historical income trends without external disruption.</w:t>
        <w:br/>
        <w:t>• Non-linear shifts such as automation, AI, policy reform, or recession events are not accounted for.</w:t>
        <w:br/>
        <w:t>• This approach serves as an exploratory baseline projection, useful for benchmarking and workforce planning.</w:t>
      </w:r>
    </w:p>
    <w:p>
      <w:pPr>
        <w:pStyle w:val="Heading2"/>
      </w:pPr>
      <w:r>
        <w:t>5. Recommendations</w:t>
      </w:r>
    </w:p>
    <w:p>
      <w:r>
        <w:t>• Prioritize Talent Pipelines:</w:t>
        <w:br/>
        <w:t xml:space="preserve">  Financial, tech, and government-linked sectors (e.g., Public Administration &amp; Education, Information &amp; Communications) show long-term wage resilience. Focus on talent development, especially in data, finance, and civil service.</w:t>
        <w:br/>
        <w:br/>
        <w:t>• Support Mid-Tier Modernization:</w:t>
        <w:br/>
        <w:t xml:space="preserve">  Professional Services and Manufacturing remain competitive but require innovation and automation strategies to sustain wage growth and productivity.</w:t>
        <w:br/>
        <w:br/>
        <w:t>• Reassess Compensation in Lower-Tier Industries:</w:t>
        <w:br/>
        <w:t xml:space="preserve">  Health &amp; Social Services, Construction, and Wholesale/Retail Trade may benefit from wage support policies, upskilling efforts, or job redesign initiatives to address long-term stagnation.</w:t>
        <w:br/>
        <w:br/>
        <w:t>• Anticipate Tech Disruption:</w:t>
        <w:br/>
        <w:t xml:space="preserve">  Maintain monitoring of Information &amp; Communications sector as a benchmark for digital transformation across other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