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RMarkdown</w:t>
      </w:r>
      <w:r>
        <w:t xml:space="preserve"> </w:t>
      </w:r>
      <w:r>
        <w:t xml:space="preserve">based</w:t>
      </w:r>
      <w:r>
        <w:t xml:space="preserve"> </w:t>
      </w:r>
      <w:r>
        <w:t xml:space="preserve">APA</w:t>
      </w:r>
      <w:r>
        <w:t xml:space="preserve"> </w:t>
      </w:r>
      <w:r>
        <w:t xml:space="preserve">Manuscript</w:t>
      </w:r>
      <w:r>
        <w:t xml:space="preserve"> </w:t>
      </w:r>
      <w:r>
        <w:t xml:space="preserve">with</w:t>
      </w:r>
      <w:r>
        <w:t xml:space="preserve"> </w:t>
      </w:r>
      <w:r>
        <w:t xml:space="preserve">‘</w:t>
      </w:r>
      <w:r>
        <w:t xml:space="preserve">papaja</w:t>
      </w:r>
      <w:r>
        <w:t xml:space="preserve">’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Jenny Rieck</w:t>
            </w:r>
            <w:r>
              <w:rPr>
                <w:vertAlign w:val="superscript"/>
              </w:rPr>
              <w:t xml:space="preserve">1</w:t>
            </w:r>
            <w:r>
              <w:t xml:space="preserve"> &amp; Derek Beaton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Rotman Research Institute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This is a short example of a completely reproducible manuscript made entirely in RStudio with RMarkdown and various R scripts, functions, and packages.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reproducible, manuscript, multivariate, APA, papaja, knitr, R, Rmarkdown</w:t>
      </w:r>
    </w:p>
    <w:p>
      <w:pPr>
        <w:pStyle w:val="Compact"/>
        <w:pStyle w:val="Titel"/>
      </w:pPr>
      <w:r>
        <w:t xml:space="preserve">RMarkdown based APA Manuscript with</w:t>
      </w:r>
      <w:r>
        <w:t xml:space="preserve"> </w:t>
      </w:r>
      <w:r>
        <w:t xml:space="preserve">‘</w:t>
      </w:r>
      <w:r>
        <w:t xml:space="preserve">papaja</w:t>
      </w:r>
      <w:r>
        <w:t xml:space="preserve">’</w:t>
      </w:r>
    </w:p>
    <w:p>
      <w:pPr>
        <w:pStyle w:val="berschrift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aim of this RMarkdown example is to show how to write a reproducible manuscript, which includes numerous bells-and-whistles—with contributions from</w:t>
      </w:r>
      <w:r>
        <w:t xml:space="preserve"> 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 RMarkdown, 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. This</w:t>
      </w:r>
      <w:r>
        <w:t xml:space="preserve"> </w:t>
      </w:r>
      <w:r>
        <w:t xml:space="preserve">“</w:t>
      </w:r>
      <w:r>
        <w:t xml:space="preserve">manuscript</w:t>
      </w:r>
      <w:r>
        <w:t xml:space="preserve">”</w:t>
      </w:r>
      <w:r>
        <w:t xml:space="preserve"> </w:t>
      </w:r>
      <w:r>
        <w:t xml:space="preserve">will include only the best (nicest looking) parts from</w:t>
      </w:r>
      <w:r>
        <w:t xml:space="preserve"> </w:t>
      </w:r>
      <w:r>
        <w:rPr>
          <w:rStyle w:val="VerbatimChar"/>
        </w:rPr>
        <w:t xml:space="preserve">1_a_Simple_RMarkdown_PDF.Rmd</w:t>
      </w:r>
    </w:p>
    <w:p>
      <w:pPr>
        <w:pStyle w:val="Textkrper"/>
      </w:pPr>
      <w:r>
        <w:t xml:space="preserve">In order to help make this manuscript look nicer, we are changing some of the YAML (</w:t>
      </w:r>
      <w:r>
        <w:t xml:space="preserve">“</w:t>
      </w:r>
      <w:r>
        <w:t xml:space="preserve">yet another markup language</w:t>
      </w:r>
      <w:r>
        <w:t xml:space="preserve">”</w:t>
      </w:r>
      <w:r>
        <w:t xml:space="preserve">) header options, so that we remove line numbers, and allow for tables &amp; figures to appear in text, as opposed to the end.</w:t>
      </w:r>
    </w:p>
    <w:p>
      <w:pPr>
        <w:pStyle w:val="berschrift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We first make our data with R. This will be followed by a paragraph break because this text precedes a chunk.</w:t>
      </w:r>
    </w:p>
    <w:p>
      <w:pPr>
        <w:pStyle w:val="Textkrper"/>
      </w:pPr>
      <w:r>
        <w:t xml:space="preserve">Then call off to python for the</w:t>
      </w:r>
      <w:r>
        <w:t xml:space="preserve"> </w:t>
      </w:r>
      <w:r>
        <w:rPr>
          <w:rStyle w:val="VerbatimChar"/>
        </w:rPr>
        <w:t xml:space="preserve">.describe()</w:t>
      </w:r>
      <w:r>
        <w:t xml:space="preserve"> </w:t>
      </w:r>
      <w:r>
        <w:t xml:space="preserve">method. This, too, will be followed by a paragraph break because this text precedes a chunk.</w:t>
      </w:r>
    </w:p>
    <w:p>
      <w:pPr>
        <w:pStyle w:val="Textkrper"/>
      </w:pPr>
      <w:r>
        <w:t xml:space="preserve">And then pass the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object back to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 use the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packages to make a nice table of summary statistics for the measures of interest. In this particular part, we also show the code chunk. Furthermore, some particular packages—such as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—and certain advanced features from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require the use of</w:t>
      </w:r>
      <w:r>
        <w:t xml:space="preserve"> </w:t>
      </w:r>
      <w:r>
        <w:rPr>
          <w:rStyle w:val="VerbatimChar"/>
        </w:rPr>
        <w:t xml:space="preserve">results='asis'</w:t>
      </w:r>
      <w:r>
        <w:t xml:space="preserve"> </w:t>
      </w:r>
      <w:r>
        <w:t xml:space="preserve">in chunk header.</w:t>
      </w:r>
    </w:p>
    <w:p>
      <w:pPr>
        <w:pStyle w:val="SourceCode"/>
      </w:pPr>
      <w:r>
        <w:rPr>
          <w:rStyle w:val="KeywordTok"/>
        </w:rPr>
        <w:t xml:space="preserve">apa_table</w:t>
      </w:r>
      <w:r>
        <w:rPr>
          <w:rStyle w:val="NormalTok"/>
        </w:rPr>
        <w:t xml:space="preserve">(py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descriptive statistics table."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formatted through LaTeX via papaja::apa_table() from a python object from the .describe() method, loaded from data in R and written through RMarkdown."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(#tab:python_describe_via_kable)</w:t>
      </w:r>
    </w:p>
    <w:p>
      <w:pPr>
        <w:pStyle w:val="Compact"/>
      </w:pPr>
      <w:r>
        <w:rPr>
          <w:i/>
        </w:rPr>
        <w:t xml:space="preserve">A descriptive statistics table.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CDRSB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WholeBrain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Hippocampus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MidTemp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665.00</w:t>
            </w:r>
          </w:p>
        </w:tc>
        <w:tc>
          <w:p>
            <w:pPr>
              <w:pStyle w:val="Compact"/>
              <w:jc w:val="left"/>
            </w:pPr>
            <w:r>
              <w:t xml:space="preserve">665.00</w:t>
            </w:r>
          </w:p>
        </w:tc>
        <w:tc>
          <w:p>
            <w:pPr>
              <w:pStyle w:val="Compact"/>
              <w:jc w:val="left"/>
            </w:pPr>
            <w:r>
              <w:t xml:space="preserve">665.00</w:t>
            </w:r>
          </w:p>
        </w:tc>
        <w:tc>
          <w:p>
            <w:pPr>
              <w:pStyle w:val="Compact"/>
              <w:jc w:val="left"/>
            </w:pPr>
            <w:r>
              <w:t xml:space="preserve">665.00</w:t>
            </w:r>
          </w:p>
        </w:tc>
        <w:tc>
          <w:p>
            <w:pPr>
              <w:pStyle w:val="Compact"/>
              <w:jc w:val="left"/>
            </w:pPr>
            <w:r>
              <w:t xml:space="preserve">665.00</w:t>
            </w:r>
          </w:p>
        </w:tc>
        <w:tc>
          <w:p>
            <w:pPr>
              <w:pStyle w:val="Compact"/>
              <w:jc w:val="left"/>
            </w:pPr>
            <w:r>
              <w:t xml:space="preserve">665.00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71.92</w:t>
            </w:r>
          </w:p>
        </w:tc>
        <w:tc>
          <w:p>
            <w:pPr>
              <w:pStyle w:val="Compact"/>
              <w:jc w:val="left"/>
            </w:pPr>
            <w:r>
              <w:t xml:space="preserve">23.89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p>
            <w:pPr>
              <w:pStyle w:val="Compact"/>
              <w:jc w:val="left"/>
            </w:pPr>
            <w:r>
              <w:t xml:space="preserve">1,057,025.55</w:t>
            </w:r>
          </w:p>
        </w:tc>
        <w:tc>
          <w:p>
            <w:pPr>
              <w:pStyle w:val="Compact"/>
              <w:jc w:val="left"/>
            </w:pPr>
            <w:r>
              <w:t xml:space="preserve">7,149.61</w:t>
            </w:r>
          </w:p>
        </w:tc>
        <w:tc>
          <w:p>
            <w:pPr>
              <w:pStyle w:val="Compact"/>
              <w:jc w:val="left"/>
            </w:pPr>
            <w:r>
              <w:t xml:space="preserve">20,301.93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p>
            <w:pPr>
              <w:pStyle w:val="Compact"/>
              <w:jc w:val="left"/>
            </w:pPr>
            <w:r>
              <w:t xml:space="preserve">6.87</w:t>
            </w:r>
          </w:p>
        </w:tc>
        <w:tc>
          <w:p>
            <w:pPr>
              <w:pStyle w:val="Compact"/>
              <w:jc w:val="left"/>
            </w:pPr>
            <w:r>
              <w:t xml:space="preserve">3.28</w:t>
            </w:r>
          </w:p>
        </w:tc>
        <w:tc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p>
            <w:pPr>
              <w:pStyle w:val="Compact"/>
              <w:jc w:val="left"/>
            </w:pPr>
            <w:r>
              <w:t xml:space="preserve">103,672.74</w:t>
            </w:r>
          </w:p>
        </w:tc>
        <w:tc>
          <w:p>
            <w:pPr>
              <w:pStyle w:val="Compact"/>
              <w:jc w:val="left"/>
            </w:pPr>
            <w:r>
              <w:t xml:space="preserve">1,086.04</w:t>
            </w:r>
          </w:p>
        </w:tc>
        <w:tc>
          <w:p>
            <w:pPr>
              <w:pStyle w:val="Compact"/>
              <w:jc w:val="left"/>
            </w:pPr>
            <w:r>
              <w:t xml:space="preserve">2,675.57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55.00</w:t>
            </w:r>
          </w:p>
        </w:tc>
        <w:tc>
          <w:p>
            <w:pPr>
              <w:pStyle w:val="Compact"/>
              <w:jc w:val="left"/>
            </w:pPr>
            <w:r>
              <w:t xml:space="preserve">16.00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817,421.23</w:t>
            </w:r>
          </w:p>
        </w:tc>
        <w:tc>
          <w:p>
            <w:pPr>
              <w:pStyle w:val="Compact"/>
              <w:jc w:val="left"/>
            </w:pPr>
            <w:r>
              <w:t xml:space="preserve">3,731.00</w:t>
            </w:r>
          </w:p>
        </w:tc>
        <w:tc>
          <w:p>
            <w:pPr>
              <w:pStyle w:val="Compact"/>
              <w:jc w:val="left"/>
            </w:pPr>
            <w:r>
              <w:t xml:space="preserve">12,213.00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67.20</w:t>
            </w:r>
          </w:p>
        </w:tc>
        <w:tc>
          <w:p>
            <w:pPr>
              <w:pStyle w:val="Compact"/>
              <w:jc w:val="left"/>
            </w:pPr>
            <w:r>
              <w:t xml:space="preserve">22.00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984,409.91</w:t>
            </w:r>
          </w:p>
        </w:tc>
        <w:tc>
          <w:p>
            <w:pPr>
              <w:pStyle w:val="Compact"/>
              <w:jc w:val="left"/>
            </w:pPr>
            <w:r>
              <w:t xml:space="preserve">6,510.00</w:t>
            </w:r>
          </w:p>
        </w:tc>
        <w:tc>
          <w:p>
            <w:pPr>
              <w:pStyle w:val="Compact"/>
              <w:jc w:val="left"/>
            </w:pPr>
            <w:r>
              <w:t xml:space="preserve">18,535.00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71.90</w:t>
            </w:r>
          </w:p>
        </w:tc>
        <w:tc>
          <w:p>
            <w:pPr>
              <w:pStyle w:val="Compact"/>
              <w:jc w:val="left"/>
            </w:pPr>
            <w:r>
              <w:t xml:space="preserve">24.00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1,051,621.33</w:t>
            </w:r>
          </w:p>
        </w:tc>
        <w:tc>
          <w:p>
            <w:pPr>
              <w:pStyle w:val="Compact"/>
              <w:jc w:val="left"/>
            </w:pPr>
            <w:r>
              <w:t xml:space="preserve">7,223.00</w:t>
            </w:r>
          </w:p>
        </w:tc>
        <w:tc>
          <w:p>
            <w:pPr>
              <w:pStyle w:val="Compact"/>
              <w:jc w:val="left"/>
            </w:pPr>
            <w:r>
              <w:t xml:space="preserve">20,186.00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left"/>
            </w:pPr>
            <w:r>
              <w:t xml:space="preserve">76.60</w:t>
            </w:r>
          </w:p>
        </w:tc>
        <w:tc>
          <w:p>
            <w:pPr>
              <w:pStyle w:val="Compact"/>
              <w:jc w:val="left"/>
            </w:pPr>
            <w:r>
              <w:t xml:space="preserve">26.00</w:t>
            </w:r>
          </w:p>
        </w:tc>
        <w:tc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1,120,569.50</w:t>
            </w:r>
          </w:p>
        </w:tc>
        <w:tc>
          <w:p>
            <w:pPr>
              <w:pStyle w:val="Compact"/>
              <w:jc w:val="left"/>
            </w:pPr>
            <w:r>
              <w:t xml:space="preserve">7,834.00</w:t>
            </w:r>
          </w:p>
        </w:tc>
        <w:tc>
          <w:p>
            <w:pPr>
              <w:pStyle w:val="Compact"/>
              <w:jc w:val="left"/>
            </w:pPr>
            <w:r>
              <w:t xml:space="preserve">22,088.00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89.60</w:t>
            </w:r>
          </w:p>
        </w:tc>
        <w:tc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p>
            <w:pPr>
              <w:pStyle w:val="Compact"/>
              <w:jc w:val="left"/>
            </w:pPr>
            <w:r>
              <w:t xml:space="preserve">5.50</w:t>
            </w:r>
          </w:p>
        </w:tc>
        <w:tc>
          <w:p>
            <w:pPr>
              <w:pStyle w:val="Compact"/>
              <w:jc w:val="left"/>
            </w:pPr>
            <w:r>
              <w:t xml:space="preserve">1,486,035.64</w:t>
            </w:r>
          </w:p>
        </w:tc>
        <w:tc>
          <w:p>
            <w:pPr>
              <w:pStyle w:val="Compact"/>
              <w:jc w:val="left"/>
            </w:pPr>
            <w:r>
              <w:t xml:space="preserve">10,602.00</w:t>
            </w:r>
          </w:p>
        </w:tc>
        <w:tc>
          <w:p>
            <w:pPr>
              <w:pStyle w:val="Compact"/>
              <w:jc w:val="left"/>
            </w:pPr>
            <w:r>
              <w:t xml:space="preserve">32,189.00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formatted through LaTeX via papaja::apa_table() from a python object from the .describe() method, loaded from data in R and written through RMarkdown.</w:t>
      </w:r>
    </w:p>
    <w:p>
      <w:pPr>
        <w:pStyle w:val="berschrift2"/>
      </w:pPr>
      <w:bookmarkStart w:id="22" w:name="procedure"/>
      <w:r>
        <w:t xml:space="preserve">Procedure</w:t>
      </w:r>
      <w:bookmarkEnd w:id="22"/>
    </w:p>
    <w:p>
      <w:pPr>
        <w:pStyle w:val="FirstParagraph"/>
      </w:pPr>
      <w:r>
        <w:t xml:space="preserve">Next we are going to use more features from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including various additional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packages that we define in the YAML header. We can use a number of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features like inline calls, numbered equations, and, for eaxmple, algorithms. We will use each of those features to describe the covSTATIS method (see also</w:t>
      </w:r>
      <w:r>
        <w:t xml:space="preserve"> </w:t>
      </w:r>
      <w:hyperlink r:id="rId23">
        <w:r>
          <w:rPr>
            <w:rStyle w:val="Hyperlink"/>
          </w:rPr>
          <w:t xml:space="preserve">our covSTATIS project repository</w:t>
        </w:r>
      </w:hyperlink>
      <w:r>
        <w:t xml:space="preserve">). Our description of covSTATIS is extremely truncated here and is only meant to illustrate features of writing a manuscript in RMarkdown.</w:t>
      </w:r>
    </w:p>
    <w:p>
      <w:pPr>
        <w:pStyle w:val="Textkrper"/>
      </w:pPr>
      <w:r>
        <w:t xml:space="preserve">CovSTATIS is a multi-table principal components analysis, specifically designed to integrate and analyze multiple correlation or covariance matrices. Each correlation matrix—</w:t>
      </w:r>
      <w:r>
        <w:t xml:space="preserve">${\bf R}_{[k]}$</w:t>
      </w:r>
      <w:r>
        <w:t xml:space="preserve">—is double-centered by way of a centering matrix as</w:t>
      </w:r>
      <w:r>
        <w:t xml:space="preserve"> </w:t>
      </w:r>
      <m:oMath>
        <m:r>
          <m:rPr>
            <m:sty m:val="b"/>
          </m:rPr>
          <m:t>Ξ</m:t>
        </m:r>
        <m:r>
          <m:t>=</m:t>
        </m:r>
        <m:r>
          <m:rPr>
            <m:sty m:val="b"/>
          </m:rPr>
          <m:t>I</m:t>
        </m:r>
        <m:r>
          <m:t>−</m:t>
        </m:r>
        <m:r>
          <m:rPr>
            <m:sty m:val="b"/>
          </m:rPr>
          <m:t>1</m:t>
        </m:r>
        <m:r>
          <m:t>(</m:t>
        </m:r>
        <m:sSup>
          <m:e>
            <m:r>
              <m:t>I</m:t>
            </m:r>
          </m:e>
          <m:sup>
            <m:r>
              <m:t>−</m:t>
            </m:r>
            <m:r>
              <m:t>1</m:t>
            </m:r>
          </m:sup>
        </m:sSup>
        <m:r>
          <m:t>)</m:t>
        </m:r>
        <m:sSup>
          <m:e>
            <m:r>
              <m:rPr>
                <m:sty m:val="b"/>
              </m:rPr>
              <m:t>1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as</w:t>
      </w:r>
    </w:p>
    <w:p>
      <w:pPr>
        <w:pStyle w:val="Textkrper"/>
      </w:pPr>
      <w:r>
        <w:t xml:space="preserve">$$\begin{equation}
{\bf S}_{[k]} = \frac{1}{2}{\boldsymbol \Xi}{\bf R}_{[k]}{\boldsymbol \Xi}.
\label{eq:double_center}
\end{equation}$$</w:t>
      </w:r>
    </w:p>
    <w:p>
      <w:pPr>
        <w:pStyle w:val="FirstParagraph"/>
      </w:pPr>
      <w:r>
        <w:t xml:space="preserve">After we perform the double-centering in Eq. @ref(eq:double_center), we then compute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weights of each matrix where first we vectorize each</w:t>
      </w:r>
      <w:r>
        <w:t xml:space="preserve"> </w:t>
      </w:r>
      <w:r>
        <w:t xml:space="preserve">${\bf S}_{[k]}$</w:t>
      </w:r>
      <w:r>
        <w:t xml:space="preserve"> </w:t>
      </w:r>
      <w:r>
        <w:t xml:space="preserve">and storing those each column vector in a new matrix as</w:t>
      </w:r>
      <w:r>
        <w:t xml:space="preserve"> </w:t>
      </w:r>
      <w:r>
        <w:t xml:space="preserve">$\mathbf{Z} = [ \mathrm{vec\{ {\bf S}_{[1]}, \dots, {\bf S}_{[k]}, \dots, {\bf S}_{[K]} \}} ]$</w:t>
      </w:r>
      <w:r>
        <w:t xml:space="preserve"> </w:t>
      </w:r>
      <w:r>
        <w:t xml:space="preserve">and then decompose</w:t>
      </w:r>
      <w:r>
        <w:t xml:space="preserve"> </w:t>
      </w:r>
      <m:oMath>
        <m:r>
          <m:rPr>
            <m:sty m:val="b"/>
          </m:rPr>
          <m:t>Z</m:t>
        </m:r>
      </m:oMath>
      <w:r>
        <w:t xml:space="preserve"> </w:t>
      </w:r>
      <w:r>
        <w:t xml:space="preserve">with the singular value decomposition (SVD):</w:t>
      </w:r>
    </w:p>
    <w:p>
      <w:pPr>
        <w:pStyle w:val="Textkrper"/>
      </w:pPr>
      <m:oMathPara>
        <m:oMathParaPr>
          <m:jc m:val="center"/>
        </m:oMathParaPr>
        <m:oMath>
          <m:r>
            <m:rPr>
              <m:sty m:val="b"/>
            </m:rPr>
            <m:t>Z</m:t>
          </m:r>
          <m:r>
            <m:t>=</m:t>
          </m:r>
          <m:r>
            <m:rPr>
              <m:sty m:val="b"/>
            </m:rPr>
            <m:t>U</m:t>
          </m:r>
          <m:r>
            <m:rPr>
              <m:sty m:val="b"/>
            </m:rPr>
            <m:t>Δ</m:t>
          </m:r>
          <m:sSup>
            <m:e>
              <m:r>
                <m:rPr>
                  <m:sty m:val="b"/>
                </m:rPr>
                <m:t>V</m:t>
              </m:r>
            </m:e>
            <m:sup>
              <m:r>
                <m:t>T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r>
          <m:t>a</m:t>
        </m:r>
        <m:r>
          <m:t>l</m:t>
        </m:r>
        <m:r>
          <m:t>p</m:t>
        </m:r>
        <m:r>
          <m:t>h</m:t>
        </m:r>
        <m:r>
          <m:t>a</m:t>
        </m:r>
      </m:oMath>
      <w:r>
        <w:t xml:space="preserve"> </w:t>
      </w:r>
      <w:r>
        <w:t xml:space="preserve">weights are</w:t>
      </w:r>
      <w:r>
        <w:t xml:space="preserve"> </w:t>
      </w:r>
      <m:oMath>
        <m:r>
          <m:rPr>
            <m:sty m:val="b"/>
          </m:rPr>
          <m:t>α</m:t>
        </m:r>
        <m:r>
          <m:t>=</m:t>
        </m:r>
        <m:sSub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</m:sSub>
        <m:r>
          <m:t>×</m:t>
        </m:r>
        <m:r>
          <m:t>(</m:t>
        </m:r>
        <m:sSubSup>
          <m:e>
            <m:r>
              <m:rPr>
                <m:sty m:val="b"/>
              </m:rPr>
              <m:t>v</m:t>
            </m:r>
          </m:e>
          <m:sub>
            <m:r>
              <m:t>1</m:t>
            </m:r>
          </m:sub>
          <m:sup>
            <m:r>
              <m:t>T</m:t>
            </m:r>
          </m:sup>
        </m:sSubSup>
        <m:r>
          <m:rPr>
            <m:sty m:val="b"/>
          </m:rPr>
          <m:t>1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. We then compute the compromise cross-product matrix as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t>[</m:t>
            </m:r>
            <m:r>
              <m:t>+</m:t>
            </m:r>
            <m:r>
              <m:t>]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α</m:t>
                </m:r>
              </m:e>
              <m:sub>
                <m:r>
                  <m:t>k</m:t>
                </m:r>
              </m:sub>
            </m:sSub>
          </m:e>
        </m:nary>
        <m:sSub>
          <m:e>
            <m:r>
              <m:rPr>
                <m:sty m:val="b"/>
              </m:rPr>
              <m:t>S</m:t>
            </m:r>
          </m:e>
          <m:sub>
            <m:r>
              <m:t>[</m:t>
            </m:r>
            <m:r>
              <m:t>k</m:t>
            </m:r>
            <m:r>
              <m:t>]</m:t>
            </m:r>
          </m:sub>
        </m:sSub>
      </m:oMath>
      <w:r>
        <w:t xml:space="preserve">, and finally decompose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t>[</m:t>
            </m:r>
            <m:r>
              <m:t>+</m:t>
            </m:r>
            <m:r>
              <m:t>]</m:t>
            </m:r>
          </m:sub>
        </m:sSub>
      </m:oMath>
      <w:r>
        <w:t xml:space="preserve"> </w:t>
      </w:r>
      <w:r>
        <w:t xml:space="preserve">with the eigenvalue decomposition (EVD) as</w:t>
      </w:r>
    </w:p>
    <w:p>
      <w:pPr>
        <w:pStyle w:val="Textkrper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S</m:t>
              </m:r>
            </m:e>
            <m:sub>
              <m:r>
                <m:t>[</m:t>
              </m:r>
              <m:r>
                <m:t>+</m:t>
              </m:r>
              <m:r>
                <m:t>]</m:t>
              </m:r>
            </m:sub>
          </m:sSub>
          <m:r>
            <m:t>=</m:t>
          </m:r>
          <m:r>
            <m:rPr>
              <m:sty m:val="b"/>
            </m:rPr>
            <m:t>Q</m:t>
          </m:r>
          <m:r>
            <m:rPr>
              <m:sty m:val="b"/>
            </m:rPr>
            <m:t>Λ</m:t>
          </m:r>
          <m:sSup>
            <m:e>
              <m:r>
                <m:rPr>
                  <m:sty m:val="b"/>
                </m:rPr>
                <m:t>Q</m:t>
              </m:r>
            </m:e>
            <m:sup>
              <m:r>
                <m:t>T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We can also outline these steps algorithmically as</w:t>
      </w:r>
    </w:p>
    <w:p>
      <w:pPr>
        <w:pStyle w:val="berschrift2"/>
      </w:pPr>
      <w:bookmarkStart w:id="24" w:name="data-analysis"/>
      <w:r>
        <w:t xml:space="preserve">Data analysis</w:t>
      </w:r>
      <w:bookmarkEnd w:id="24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package includes the ability to generate a bibliography directly from all the loaded packages (via</w:t>
      </w:r>
      <w:r>
        <w:t xml:space="preserve"> </w:t>
      </w:r>
      <w:r>
        <w:rPr>
          <w:rStyle w:val="VerbatimChar"/>
        </w:rPr>
        <w:t xml:space="preserve">cite_r()</w:t>
      </w:r>
      <w:r>
        <w:t xml:space="preserve">). This document includes R</w:t>
      </w:r>
      <w:r>
        <w:t xml:space="preserve"> </w:t>
      </w:r>
      <w:r>
        <w:t xml:space="preserve">(Version 3.5.1; R Core Team, 2018)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covstatis</w:t>
      </w:r>
      <w:r>
        <w:t xml:space="preserve"> </w:t>
      </w:r>
      <w:r>
        <w:t xml:space="preserve">(Version 0.1.0.0; Rieck &amp; Beaton, n.d.)</w:t>
      </w:r>
      <w:r>
        <w:t xml:space="preserve">,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(Version 0.7.6; Wickham et al., 2018)</w:t>
      </w:r>
      <w:r>
        <w:t xml:space="preserve">,</w:t>
      </w:r>
      <w:r>
        <w:t xml:space="preserve"> </w:t>
      </w:r>
      <w:r>
        <w:rPr>
          <w:i/>
        </w:rPr>
        <w:t xml:space="preserve">ExPosition</w:t>
      </w:r>
      <w:r>
        <w:t xml:space="preserve"> </w:t>
      </w:r>
      <w:r>
        <w:t xml:space="preserve">(Version 2.8.23; Beaton et al., 2014a)</w:t>
      </w:r>
      <w:r>
        <w:t xml:space="preserve">,</w:t>
      </w:r>
      <w:r>
        <w:t xml:space="preserve"> </w:t>
      </w:r>
      <w:r>
        <w:rPr>
          <w:i/>
        </w:rPr>
        <w:t xml:space="preserve">factoextra</w:t>
      </w:r>
      <w:r>
        <w:t xml:space="preserve"> </w:t>
      </w:r>
      <w:r>
        <w:t xml:space="preserve">(Version 1.0.5; Kassambara &amp; Mundt, 2017)</w:t>
      </w:r>
      <w:r>
        <w:t xml:space="preserve">,</w:t>
      </w:r>
      <w:r>
        <w:t xml:space="preserve"> </w:t>
      </w:r>
      <w:r>
        <w:rPr>
          <w:i/>
        </w:rPr>
        <w:t xml:space="preserve">forcats</w:t>
      </w:r>
      <w:r>
        <w:t xml:space="preserve"> </w:t>
      </w:r>
      <w:r>
        <w:t xml:space="preserve">(Version 0.3.0; Wickham, 2018a)</w:t>
      </w:r>
      <w:r>
        <w:t xml:space="preserve">,</w:t>
      </w:r>
      <w:r>
        <w:t xml:space="preserve"> </w:t>
      </w:r>
      <w:r>
        <w:rPr>
          <w:i/>
        </w:rPr>
        <w:t xml:space="preserve">ggplot2</w:t>
      </w:r>
      <w:r>
        <w:t xml:space="preserve"> </w:t>
      </w:r>
      <w:r>
        <w:t xml:space="preserve">(Version 3.0.0; Wickham, 2016)</w:t>
      </w:r>
      <w:r>
        <w:t xml:space="preserve">,</w:t>
      </w:r>
      <w:r>
        <w:t xml:space="preserve"> </w:t>
      </w:r>
      <w:r>
        <w:rPr>
          <w:i/>
        </w:rPr>
        <w:t xml:space="preserve">gridExtra</w:t>
      </w:r>
      <w:r>
        <w:t xml:space="preserve"> </w:t>
      </w:r>
      <w:r>
        <w:t xml:space="preserve">(Version 2.3; Auguie, 2017)</w:t>
      </w:r>
      <w:r>
        <w:t xml:space="preserve">,</w:t>
      </w:r>
      <w:r>
        <w:t xml:space="preserve"> </w:t>
      </w:r>
      <w:r>
        <w:rPr>
          <w:i/>
        </w:rPr>
        <w:t xml:space="preserve">GSVD</w:t>
      </w:r>
      <w:r>
        <w:t xml:space="preserve"> </w:t>
      </w:r>
      <w:r>
        <w:t xml:space="preserve">(Version 0.2.0; Beaton, n.d.)</w:t>
      </w:r>
      <w:r>
        <w:t xml:space="preserve">,</w:t>
      </w:r>
      <w:r>
        <w:t xml:space="preserve"> </w:t>
      </w:r>
      <w:r>
        <w:rPr>
          <w:i/>
        </w:rPr>
        <w:t xml:space="preserve">here</w:t>
      </w:r>
      <w:r>
        <w:t xml:space="preserve"> </w:t>
      </w:r>
      <w:r>
        <w:t xml:space="preserve">(Version 0.1; Müller, 2017)</w:t>
      </w:r>
      <w:r>
        <w:t xml:space="preserve">,</w:t>
      </w:r>
      <w:r>
        <w:t xml:space="preserve"> </w:t>
      </w:r>
      <w:r>
        <w:rPr>
          <w:i/>
        </w:rPr>
        <w:t xml:space="preserve">kableExtra</w:t>
      </w:r>
      <w:r>
        <w:t xml:space="preserve"> </w:t>
      </w:r>
      <w:r>
        <w:t xml:space="preserve">(Version 0.9.0; Zhu, 2018)</w:t>
      </w:r>
      <w:r>
        <w:t xml:space="preserve">,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(Version 1.23.2; Xie, 2015)</w:t>
      </w:r>
      <w:r>
        <w:t xml:space="preserve">,</w:t>
      </w:r>
      <w:r>
        <w:t xml:space="preserve"> </w:t>
      </w:r>
      <w:r>
        <w:rPr>
          <w:i/>
        </w:rPr>
        <w:t xml:space="preserve">ours</w:t>
      </w:r>
      <w:r>
        <w:t xml:space="preserve"> </w:t>
      </w:r>
      <w:r>
        <w:t xml:space="preserve">(Version 0.0.0.9000; Sunderland &amp; Beaton, n.d.)</w:t>
      </w:r>
      <w:r>
        <w:t xml:space="preserve">,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0.1.0.9842; Aust &amp; Barth, 2018)</w:t>
      </w:r>
      <w:r>
        <w:t xml:space="preserve">,</w:t>
      </w:r>
      <w:r>
        <w:t xml:space="preserve"> </w:t>
      </w:r>
      <w:r>
        <w:rPr>
          <w:i/>
        </w:rPr>
        <w:t xml:space="preserve">prettyGraphs</w:t>
      </w:r>
      <w:r>
        <w:t xml:space="preserve"> </w:t>
      </w:r>
      <w:r>
        <w:t xml:space="preserve">(Version 2.1.6; Beaton et al., 2014b)</w:t>
      </w:r>
      <w:r>
        <w:t xml:space="preserve">,</w:t>
      </w:r>
      <w:r>
        <w:t xml:space="preserve"> </w:t>
      </w:r>
      <w:r>
        <w:rPr>
          <w:i/>
        </w:rPr>
        <w:t xml:space="preserve">purrr</w:t>
      </w:r>
      <w:r>
        <w:t xml:space="preserve"> </w:t>
      </w:r>
      <w:r>
        <w:t xml:space="preserve">(Version 0.2.5; Henry &amp; Wickham, 2018)</w:t>
      </w:r>
      <w:r>
        <w:t xml:space="preserve">,</w:t>
      </w:r>
      <w:r>
        <w:t xml:space="preserve"> </w:t>
      </w:r>
      <w:r>
        <w:rPr>
          <w:i/>
        </w:rPr>
        <w:t xml:space="preserve">readr</w:t>
      </w:r>
      <w:r>
        <w:t xml:space="preserve"> </w:t>
      </w:r>
      <w:r>
        <w:t xml:space="preserve">(Version 1.1.1; Wickham et al., 2017)</w:t>
      </w:r>
      <w:r>
        <w:t xml:space="preserve">,</w:t>
      </w:r>
      <w:r>
        <w:t xml:space="preserve"> </w:t>
      </w:r>
      <w:r>
        <w:rPr>
          <w:i/>
        </w:rPr>
        <w:t xml:space="preserve">reticulate</w:t>
      </w:r>
      <w:r>
        <w:t xml:space="preserve"> </w:t>
      </w:r>
      <w:r>
        <w:t xml:space="preserve">(Version 1.9; Allaire, Ushey, &amp; Tang, 2018)</w:t>
      </w:r>
      <w:r>
        <w:t xml:space="preserve">,</w:t>
      </w:r>
      <w:r>
        <w:t xml:space="preserve"> </w:t>
      </w:r>
      <w:r>
        <w:rPr>
          <w:i/>
        </w:rPr>
        <w:t xml:space="preserve">RevoUtils</w:t>
      </w:r>
      <w:r>
        <w:t xml:space="preserve"> </w:t>
      </w:r>
      <w:r>
        <w:t xml:space="preserve">(Version 11.0.1; Corporation, 2018b, 2018a)</w:t>
      </w:r>
      <w:r>
        <w:t xml:space="preserve">,</w:t>
      </w:r>
      <w:r>
        <w:t xml:space="preserve"> </w:t>
      </w:r>
      <w:r>
        <w:rPr>
          <w:i/>
        </w:rPr>
        <w:t xml:space="preserve">RevoUtilsMath</w:t>
      </w:r>
      <w:r>
        <w:t xml:space="preserve"> </w:t>
      </w:r>
      <w:r>
        <w:t xml:space="preserve">(Version 11.0.0; Corporation, 2018a)</w:t>
      </w:r>
      <w:r>
        <w:t xml:space="preserve">,</w:t>
      </w:r>
      <w:r>
        <w:t xml:space="preserve"> </w:t>
      </w:r>
      <w:r>
        <w:rPr>
          <w:i/>
        </w:rPr>
        <w:t xml:space="preserve">stringr</w:t>
      </w:r>
      <w:r>
        <w:t xml:space="preserve"> </w:t>
      </w:r>
      <w:r>
        <w:t xml:space="preserve">(Version 1.3.1; Wickham, 2018b)</w:t>
      </w:r>
      <w:r>
        <w:t xml:space="preserve">,</w:t>
      </w:r>
      <w:r>
        <w:t xml:space="preserve"> </w:t>
      </w:r>
      <w:r>
        <w:rPr>
          <w:i/>
        </w:rPr>
        <w:t xml:space="preserve">tibble</w:t>
      </w:r>
      <w:r>
        <w:t xml:space="preserve"> </w:t>
      </w:r>
      <w:r>
        <w:t xml:space="preserve">(Version 1.4.2; Müller &amp; Wickham, 2018)</w:t>
      </w:r>
      <w:r>
        <w:t xml:space="preserve">,</w:t>
      </w:r>
      <w:r>
        <w:t xml:space="preserve"> </w:t>
      </w:r>
      <w:r>
        <w:rPr>
          <w:i/>
        </w:rPr>
        <w:t xml:space="preserve">tidyr</w:t>
      </w:r>
      <w:r>
        <w:t xml:space="preserve"> </w:t>
      </w:r>
      <w:r>
        <w:t xml:space="preserve">(Version 0.8.1; Wickham &amp; Henry, 2018)</w:t>
      </w:r>
      <w:r>
        <w:t xml:space="preserve">, and</w:t>
      </w:r>
      <w:r>
        <w:t xml:space="preserve"> </w:t>
      </w:r>
      <w:r>
        <w:rPr>
          <w:i/>
        </w:rPr>
        <w:t xml:space="preserve">tidyverse</w:t>
      </w:r>
      <w:r>
        <w:t xml:space="preserve"> </w:t>
      </w:r>
      <w:r>
        <w:t xml:space="preserve">(Version 1.2.1; Wickham, 2017)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5" w:name="results"/>
      <w:r>
        <w:t xml:space="preserve">Results</w:t>
      </w:r>
      <w:bookmarkEnd w:id="25"/>
    </w:p>
    <w:p>
      <w:pPr>
        <w:pStyle w:val="FirstParagraph"/>
      </w:pPr>
      <w:r>
        <w:t xml:space="preserve">Like in the other example RMarkdown file, we call off to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script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1 Scree plot of the covSTATIS compromise results." title="" id="1" name="Picture"/>
            <a:graphic>
              <a:graphicData uri="http://schemas.openxmlformats.org/drawingml/2006/picture">
                <pic:pic>
                  <pic:nvPicPr>
                    <pic:cNvPr descr="3_RMarkdown_APA_Manuscript_files/figure-docx/sc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Scree plot of the covSTATIS compromise results.</w:t>
      </w:r>
    </w:p>
    <w:p>
      <w:pPr>
        <w:pStyle w:val="CaptionedFigure"/>
      </w:pPr>
      <w:r>
        <w:drawing>
          <wp:inline>
            <wp:extent cx="5969000" cy="5969000"/>
            <wp:effectExtent b="0" l="0" r="0" t="0"/>
            <wp:docPr descr="Figure 2 Component maps with the compromise (purple) and each group’s results (green) projected onto the compromise." title="" id="1" name="Picture"/>
            <a:graphic>
              <a:graphicData uri="http://schemas.openxmlformats.org/drawingml/2006/picture">
                <pic:pic>
                  <pic:nvPicPr>
                    <pic:cNvPr descr="3_RMarkdown_APA_Manu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Component maps with the compromise (purple) and each group’s results (green) projected onto the compromise.</w:t>
      </w:r>
    </w:p>
    <w:p>
      <w:pPr>
        <w:pStyle w:val="berschrift1"/>
      </w:pPr>
      <w:bookmarkStart w:id="28" w:name="discussion"/>
      <w:r>
        <w:t xml:space="preserve">Discussion</w:t>
      </w:r>
      <w:bookmarkEnd w:id="28"/>
    </w:p>
    <w:p>
      <w:pPr>
        <w:pStyle w:val="FirstParagraph"/>
      </w:pPr>
      <w:r>
        <w:t xml:space="preserve">This example manuscript provides an illustrative view of how to write a reproducible paper in RMarkdown with the help of various external tools (e.g.,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R</w:t>
      </w:r>
      <w:r>
        <w:t xml:space="preserve">/RStudio tools. References can be included in two ways: through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bibliography files or through the use of additional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packages and Rstudio plugins, such as</w:t>
      </w:r>
      <w:r>
        <w:t xml:space="preserve"> </w:t>
      </w:r>
      <w:hyperlink r:id="rId29">
        <w:r>
          <w:rPr>
            <w:rStyle w:val="VerbatimChar"/>
            <w:rStyle w:val="Hyperlink"/>
          </w:rPr>
          <w:t xml:space="preserve">citr</w:t>
        </w:r>
      </w:hyperlink>
      <w:r>
        <w:t xml:space="preserve">.</w:t>
      </w:r>
    </w:p>
    <w:p>
      <w:pPr>
        <w:pStyle w:val="berschrift1"/>
      </w:pPr>
      <w:bookmarkStart w:id="30" w:name="references"/>
      <w:r>
        <w:t xml:space="preserve">References</w:t>
      </w:r>
      <w:bookmarkEnd w:id="30"/>
    </w:p>
    <w:bookmarkStart w:id="73" w:name="refs"/>
    <w:bookmarkStart w:id="32" w:name="ref-R-reticulate"/>
    <w:p>
      <w:pPr>
        <w:pStyle w:val="Literaturverzeichnis"/>
      </w:pPr>
      <w:r>
        <w:t xml:space="preserve">Allaire, J., Ushey, K., &amp; Tang, Y. (2018).</w:t>
      </w:r>
      <w:r>
        <w:t xml:space="preserve"> </w:t>
      </w:r>
      <w:r>
        <w:rPr>
          <w:i/>
        </w:rPr>
        <w:t xml:space="preserve">Reticulate: Interface to ’python’</w:t>
      </w:r>
      <w:r>
        <w:t xml:space="preserve">. Retrieved from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https://CRAN.R-project.org/package=reticulate</w:t>
        </w:r>
      </w:hyperlink>
    </w:p>
    <w:bookmarkEnd w:id="32"/>
    <w:bookmarkStart w:id="34" w:name="ref-R-gridExtra"/>
    <w:p>
      <w:pPr>
        <w:pStyle w:val="Literaturverzeichnis"/>
      </w:pPr>
      <w:r>
        <w:t xml:space="preserve">Auguie, B. (2017).</w:t>
      </w:r>
      <w:r>
        <w:t xml:space="preserve"> </w:t>
      </w:r>
      <w:r>
        <w:rPr>
          <w:i/>
        </w:rPr>
        <w:t xml:space="preserve">GridExtra: Miscellaneous functions for "grid" graphics</w:t>
      </w:r>
      <w:r>
        <w:t xml:space="preserve">. Retrieved from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https://CRAN.R-project.org/package=gridExtra</w:t>
        </w:r>
      </w:hyperlink>
    </w:p>
    <w:bookmarkEnd w:id="34"/>
    <w:bookmarkStart w:id="36" w:name="ref-R-papaja"/>
    <w:p>
      <w:pPr>
        <w:pStyle w:val="Literaturverzeichnis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5">
        <w:r>
          <w:rPr>
            <w:rStyle w:val="Hyperlink"/>
          </w:rPr>
          <w:t xml:space="preserve">https://github.com/crsh/papaja</w:t>
        </w:r>
      </w:hyperlink>
    </w:p>
    <w:bookmarkEnd w:id="36"/>
    <w:bookmarkStart w:id="37" w:name="ref-R-GSVD"/>
    <w:p>
      <w:pPr>
        <w:pStyle w:val="Literaturverzeichnis"/>
      </w:pPr>
      <w:r>
        <w:t xml:space="preserve">Beaton, D. (n.d.).</w:t>
      </w:r>
      <w:r>
        <w:t xml:space="preserve"> </w:t>
      </w:r>
      <w:r>
        <w:rPr>
          <w:i/>
        </w:rPr>
        <w:t xml:space="preserve">GSVD: The generalized singular value decomposition</w:t>
      </w:r>
      <w:r>
        <w:t xml:space="preserve">.</w:t>
      </w:r>
    </w:p>
    <w:bookmarkEnd w:id="37"/>
    <w:bookmarkStart w:id="39" w:name="ref-R-ExPosition"/>
    <w:p>
      <w:pPr>
        <w:pStyle w:val="Literaturverzeichnis"/>
      </w:pPr>
      <w:r>
        <w:t xml:space="preserve">Beaton, D., Fatt, C. R. C., &amp; Abdi, H. (2014a). An ExPosition of multivariate analysis with the singular value decomposition in R.</w:t>
      </w:r>
      <w:r>
        <w:t xml:space="preserve"> </w:t>
      </w:r>
      <w:r>
        <w:rPr>
          <w:i/>
        </w:rPr>
        <w:t xml:space="preserve">Computational Statistics &amp; Data Analysis</w:t>
      </w:r>
      <w:r>
        <w:t xml:space="preserve">,</w:t>
      </w:r>
      <w:r>
        <w:t xml:space="preserve"> </w:t>
      </w:r>
      <w:r>
        <w:rPr>
          <w:i/>
        </w:rPr>
        <w:t xml:space="preserve">72</w:t>
      </w:r>
      <w:r>
        <w:t xml:space="preserve">(0), 176–189.</w:t>
      </w:r>
      <w:r>
        <w:t xml:space="preserve"> </w:t>
      </w:r>
      <w:hyperlink r:id="rId38">
        <w:r>
          <w:rPr>
            <w:rStyle w:val="Hyperlink"/>
          </w:rPr>
          <w:t xml:space="preserve">https://doi.org/10.1016/j.csda.2013.11.006</w:t>
        </w:r>
      </w:hyperlink>
    </w:p>
    <w:bookmarkEnd w:id="39"/>
    <w:bookmarkStart w:id="40" w:name="ref-R-prettyGraphs"/>
    <w:p>
      <w:pPr>
        <w:pStyle w:val="Literaturverzeichnis"/>
      </w:pPr>
      <w:r>
        <w:t xml:space="preserve">Beaton, D., Fatt, C. R. C., &amp; Abdi, H. (2014b). An ExPosition of multivariate analysis with the singular value decomposition in R.</w:t>
      </w:r>
      <w:r>
        <w:t xml:space="preserve"> </w:t>
      </w:r>
      <w:r>
        <w:rPr>
          <w:i/>
        </w:rPr>
        <w:t xml:space="preserve">Computational Statistics &amp; Data Analysis</w:t>
      </w:r>
      <w:r>
        <w:t xml:space="preserve">,</w:t>
      </w:r>
      <w:r>
        <w:t xml:space="preserve"> </w:t>
      </w:r>
      <w:r>
        <w:rPr>
          <w:i/>
        </w:rPr>
        <w:t xml:space="preserve">72</w:t>
      </w:r>
      <w:r>
        <w:t xml:space="preserve">(0), 176–189.</w:t>
      </w:r>
      <w:r>
        <w:t xml:space="preserve"> </w:t>
      </w:r>
      <w:hyperlink r:id="rId38">
        <w:r>
          <w:rPr>
            <w:rStyle w:val="Hyperlink"/>
          </w:rPr>
          <w:t xml:space="preserve">https://doi.org/10.1016/j.csda.2013.11.006</w:t>
        </w:r>
      </w:hyperlink>
    </w:p>
    <w:bookmarkEnd w:id="40"/>
    <w:bookmarkStart w:id="41" w:name="ref-R-RevoUtilsMath"/>
    <w:p>
      <w:pPr>
        <w:pStyle w:val="Literaturverzeichnis"/>
      </w:pPr>
      <w:r>
        <w:t xml:space="preserve">Corporation, M. (2018a).</w:t>
      </w:r>
      <w:r>
        <w:t xml:space="preserve"> </w:t>
      </w:r>
      <w:r>
        <w:rPr>
          <w:i/>
        </w:rPr>
        <w:t xml:space="preserve">RevoUtilsMath: Microsoft r services math utilities package</w:t>
      </w:r>
      <w:r>
        <w:t xml:space="preserve">.</w:t>
      </w:r>
    </w:p>
    <w:bookmarkEnd w:id="41"/>
    <w:bookmarkStart w:id="42" w:name="ref-R-RevoUtils"/>
    <w:p>
      <w:pPr>
        <w:pStyle w:val="Literaturverzeichnis"/>
      </w:pPr>
      <w:r>
        <w:t xml:space="preserve">Corporation, M. (2018b).</w:t>
      </w:r>
      <w:r>
        <w:t xml:space="preserve"> </w:t>
      </w:r>
      <w:r>
        <w:rPr>
          <w:i/>
        </w:rPr>
        <w:t xml:space="preserve">RevoUtils: Microsoft r utility package</w:t>
      </w:r>
      <w:r>
        <w:t xml:space="preserve">.</w:t>
      </w:r>
    </w:p>
    <w:bookmarkEnd w:id="42"/>
    <w:bookmarkStart w:id="44" w:name="ref-R-purrr"/>
    <w:p>
      <w:pPr>
        <w:pStyle w:val="Literaturverzeichnis"/>
      </w:pPr>
      <w:r>
        <w:t xml:space="preserve">Henry, L., &amp; Wickham, H. (2018).</w:t>
      </w:r>
      <w:r>
        <w:t xml:space="preserve"> </w:t>
      </w:r>
      <w:r>
        <w:rPr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https://CRAN.R-project.org/package=purrr</w:t>
        </w:r>
      </w:hyperlink>
    </w:p>
    <w:bookmarkEnd w:id="44"/>
    <w:bookmarkStart w:id="46" w:name="ref-R-factoextra"/>
    <w:p>
      <w:pPr>
        <w:pStyle w:val="Literaturverzeichnis"/>
      </w:pPr>
      <w:r>
        <w:t xml:space="preserve">Kassambara, A., &amp; Mundt, F. (2017).</w:t>
      </w:r>
      <w:r>
        <w:t xml:space="preserve"> </w:t>
      </w:r>
      <w:r>
        <w:rPr>
          <w:i/>
        </w:rPr>
        <w:t xml:space="preserve">Factoextra: Extract and visualize the results of multivariate data analyses</w:t>
      </w:r>
      <w:r>
        <w:t xml:space="preserve">. Retrieved from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https://CRAN.R-project.org/package=factoextra</w:t>
        </w:r>
      </w:hyperlink>
    </w:p>
    <w:bookmarkEnd w:id="46"/>
    <w:bookmarkStart w:id="48" w:name="ref-R-here"/>
    <w:p>
      <w:pPr>
        <w:pStyle w:val="Literaturverzeichnis"/>
      </w:pPr>
      <w:r>
        <w:t xml:space="preserve">Müller, K. (2017).</w:t>
      </w:r>
      <w:r>
        <w:t xml:space="preserve"> </w:t>
      </w:r>
      <w:r>
        <w:rPr>
          <w:i/>
        </w:rPr>
        <w:t xml:space="preserve">Here: A simpler way to find your files</w:t>
      </w:r>
      <w:r>
        <w:t xml:space="preserve">. Retrieved from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50" w:name="ref-R-tibble"/>
    <w:p>
      <w:pPr>
        <w:pStyle w:val="Literaturverzeichnis"/>
      </w:pPr>
      <w:r>
        <w:t xml:space="preserve">Müller, K., &amp; Wickham, H. (2018).</w:t>
      </w:r>
      <w:r>
        <w:t xml:space="preserve"> </w:t>
      </w:r>
      <w:r>
        <w:rPr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https://CRAN.R-project.org/package=tibble</w:t>
        </w:r>
      </w:hyperlink>
    </w:p>
    <w:bookmarkEnd w:id="50"/>
    <w:bookmarkStart w:id="52" w:name="ref-R-base"/>
    <w:p>
      <w:pPr>
        <w:pStyle w:val="Literaturverzeichnis"/>
      </w:pPr>
      <w:r>
        <w:t xml:space="preserve">R Core Team. (2018).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51">
        <w:r>
          <w:rPr>
            <w:rStyle w:val="Hyperlink"/>
          </w:rPr>
          <w:t xml:space="preserve">https://www.R-project.org/</w:t>
        </w:r>
      </w:hyperlink>
    </w:p>
    <w:bookmarkEnd w:id="52"/>
    <w:bookmarkStart w:id="53" w:name="ref-R-covstatis"/>
    <w:p>
      <w:pPr>
        <w:pStyle w:val="Literaturverzeichnis"/>
      </w:pPr>
      <w:r>
        <w:t xml:space="preserve">Rieck, J., &amp; Beaton, D. (n.d.).</w:t>
      </w:r>
      <w:r>
        <w:t xml:space="preserve"> </w:t>
      </w:r>
      <w:r>
        <w:rPr>
          <w:i/>
        </w:rPr>
        <w:t xml:space="preserve">Covstatis: CovSTATIS</w:t>
      </w:r>
      <w:r>
        <w:t xml:space="preserve">.</w:t>
      </w:r>
    </w:p>
    <w:bookmarkEnd w:id="53"/>
    <w:bookmarkStart w:id="54" w:name="ref-R-ours"/>
    <w:p>
      <w:pPr>
        <w:pStyle w:val="Literaturverzeichnis"/>
      </w:pPr>
      <w:r>
        <w:t xml:space="preserve">Sunderland, K., &amp; Beaton, D. (n.d.).</w:t>
      </w:r>
      <w:r>
        <w:t xml:space="preserve"> </w:t>
      </w:r>
      <w:r>
        <w:rPr>
          <w:i/>
        </w:rPr>
        <w:t xml:space="preserve">Ours: OUtliers and robust structures</w:t>
      </w:r>
      <w:r>
        <w:t xml:space="preserve">.</w:t>
      </w:r>
    </w:p>
    <w:bookmarkEnd w:id="54"/>
    <w:bookmarkStart w:id="56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55">
        <w:r>
          <w:rPr>
            <w:rStyle w:val="Hyperlink"/>
          </w:rPr>
          <w:t xml:space="preserve">http://ggplot2.org</w:t>
        </w:r>
      </w:hyperlink>
    </w:p>
    <w:bookmarkEnd w:id="56"/>
    <w:bookmarkStart w:id="58" w:name="ref-R-tidyverse"/>
    <w:p>
      <w:pPr>
        <w:pStyle w:val="Literaturverzeichnis"/>
      </w:pPr>
      <w:r>
        <w:t xml:space="preserve">Wickham, H. (2017).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https://CRAN.R-project.org/package=tidyverse</w:t>
        </w:r>
      </w:hyperlink>
    </w:p>
    <w:bookmarkEnd w:id="58"/>
    <w:bookmarkStart w:id="60" w:name="ref-R-forcats"/>
    <w:p>
      <w:pPr>
        <w:pStyle w:val="Literaturverzeichnis"/>
      </w:pPr>
      <w:r>
        <w:t xml:space="preserve">Wickham, H. (2018a).</w:t>
      </w:r>
      <w:r>
        <w:t xml:space="preserve"> </w:t>
      </w:r>
      <w:r>
        <w:rPr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https://CRAN.R-project.org/package=forcats</w:t>
        </w:r>
      </w:hyperlink>
    </w:p>
    <w:bookmarkEnd w:id="60"/>
    <w:bookmarkStart w:id="62" w:name="ref-R-stringr"/>
    <w:p>
      <w:pPr>
        <w:pStyle w:val="Literaturverzeichnis"/>
      </w:pPr>
      <w:r>
        <w:t xml:space="preserve">Wickham, H. (2018b).</w:t>
      </w:r>
      <w:r>
        <w:t xml:space="preserve"> </w:t>
      </w:r>
      <w:r>
        <w:rPr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https://CRAN.R-project.org/package=stringr</w:t>
        </w:r>
      </w:hyperlink>
    </w:p>
    <w:bookmarkEnd w:id="62"/>
    <w:bookmarkStart w:id="64" w:name="ref-R-dplyr"/>
    <w:p>
      <w:pPr>
        <w:pStyle w:val="Literaturverzeichnis"/>
      </w:pPr>
      <w:r>
        <w:t xml:space="preserve">Wickham, H., François, R., Henry, L., &amp; Müller, K. (2018).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https://CRAN.R-project.org/package=dplyr</w:t>
        </w:r>
      </w:hyperlink>
    </w:p>
    <w:bookmarkEnd w:id="64"/>
    <w:bookmarkStart w:id="66" w:name="ref-R-tidyr"/>
    <w:p>
      <w:pPr>
        <w:pStyle w:val="Literaturverzeichnis"/>
      </w:pPr>
      <w:r>
        <w:t xml:space="preserve">Wickham, H., &amp; Henry, L. (2018).</w:t>
      </w:r>
      <w:r>
        <w:t xml:space="preserve"> </w:t>
      </w:r>
      <w:r>
        <w:rPr>
          <w:i/>
        </w:rPr>
        <w:t xml:space="preserve">Tidyr: Easily tidy data with ’spread()’ and ’gather()’ functions</w:t>
      </w:r>
      <w:r>
        <w:t xml:space="preserve">. Retrieved from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https://CRAN.R-project.org/package=tidyr</w:t>
        </w:r>
      </w:hyperlink>
    </w:p>
    <w:bookmarkEnd w:id="66"/>
    <w:bookmarkStart w:id="68" w:name="ref-R-readr"/>
    <w:p>
      <w:pPr>
        <w:pStyle w:val="Literaturverzeichnis"/>
      </w:pPr>
      <w:r>
        <w:t xml:space="preserve">Wickham, H., Hester, J., &amp; Francois, R. (2017).</w:t>
      </w:r>
      <w:r>
        <w:t xml:space="preserve"> </w:t>
      </w:r>
      <w:r>
        <w:rPr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https://CRAN.R-project.org/package=readr</w:t>
        </w:r>
      </w:hyperlink>
    </w:p>
    <w:bookmarkEnd w:id="68"/>
    <w:bookmarkStart w:id="70" w:name="ref-R-knitr"/>
    <w:p>
      <w:pPr>
        <w:pStyle w:val="Literaturverzeichnis"/>
      </w:pPr>
      <w:r>
        <w:t xml:space="preserve">Xie, Y. (2015).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 </w:t>
      </w:r>
      <w:r>
        <w:t xml:space="preserve">(2nd ed.). Boca Raton, Florida: Chapman; Hall/CRC. Retrieved from</w:t>
      </w:r>
      <w:r>
        <w:t xml:space="preserve"> </w:t>
      </w:r>
      <w:hyperlink r:id="rId69">
        <w:r>
          <w:rPr>
            <w:rStyle w:val="Hyperlink"/>
          </w:rPr>
          <w:t xml:space="preserve">https://yihui.name/knitr/</w:t>
        </w:r>
      </w:hyperlink>
    </w:p>
    <w:bookmarkEnd w:id="70"/>
    <w:bookmarkStart w:id="72" w:name="ref-R-kableExtra"/>
    <w:p>
      <w:pPr>
        <w:pStyle w:val="Literaturverzeichnis"/>
      </w:pPr>
      <w:r>
        <w:t xml:space="preserve">Zhu, H. (2018).</w:t>
      </w:r>
      <w:r>
        <w:t xml:space="preserve"> </w:t>
      </w:r>
      <w:r>
        <w:rPr>
          <w:i/>
        </w:rPr>
        <w:t xml:space="preserve">KableExtra: Construct complex table with ’kable’ and pipe syntax</w:t>
      </w:r>
      <w:r>
        <w:t xml:space="preserve">. Retrieved from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https://CRAN.R-project.org/package=kableExtra</w:t>
        </w:r>
      </w:hyperlink>
    </w:p>
    <w:bookmarkEnd w:id="72"/>
    <w:bookmarkEnd w:id="73"/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55" Target="http://ggplot2.org" TargetMode="External" /><Relationship Type="http://schemas.openxmlformats.org/officeDocument/2006/relationships/hyperlink" Id="rId63" Target="https://CRAN.R-project.org/package=dplyr" TargetMode="External" /><Relationship Type="http://schemas.openxmlformats.org/officeDocument/2006/relationships/hyperlink" Id="rId45" Target="https://CRAN.R-project.org/package=factoextra" TargetMode="External" /><Relationship Type="http://schemas.openxmlformats.org/officeDocument/2006/relationships/hyperlink" Id="rId59" Target="https://CRAN.R-project.org/package=forcats" TargetMode="External" /><Relationship Type="http://schemas.openxmlformats.org/officeDocument/2006/relationships/hyperlink" Id="rId33" Target="https://CRAN.R-project.org/package=gridExtra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71" Target="https://CRAN.R-project.org/package=kableExtra" TargetMode="External" /><Relationship Type="http://schemas.openxmlformats.org/officeDocument/2006/relationships/hyperlink" Id="rId43" Target="https://CRAN.R-project.org/package=purrr" TargetMode="External" /><Relationship Type="http://schemas.openxmlformats.org/officeDocument/2006/relationships/hyperlink" Id="rId67" Target="https://CRAN.R-project.org/package=readr" TargetMode="External" /><Relationship Type="http://schemas.openxmlformats.org/officeDocument/2006/relationships/hyperlink" Id="rId31" Target="https://CRAN.R-project.org/package=reticulate" TargetMode="External" /><Relationship Type="http://schemas.openxmlformats.org/officeDocument/2006/relationships/hyperlink" Id="rId61" Target="https://CRAN.R-project.org/package=stringr" TargetMode="External" /><Relationship Type="http://schemas.openxmlformats.org/officeDocument/2006/relationships/hyperlink" Id="rId49" Target="https://CRAN.R-project.org/package=tibble" TargetMode="External" /><Relationship Type="http://schemas.openxmlformats.org/officeDocument/2006/relationships/hyperlink" Id="rId65" Target="https://CRAN.R-project.org/package=tidyr" TargetMode="External" /><Relationship Type="http://schemas.openxmlformats.org/officeDocument/2006/relationships/hyperlink" Id="rId57" Target="https://CRAN.R-project.org/package=tidyverse" TargetMode="External" /><Relationship Type="http://schemas.openxmlformats.org/officeDocument/2006/relationships/hyperlink" Id="rId38" Target="https://doi.org/10.1016/j.csda.2013.11.006" TargetMode="External" /><Relationship Type="http://schemas.openxmlformats.org/officeDocument/2006/relationships/hyperlink" Id="rId29" Target="https://github.com/crsh/citr" TargetMode="External" /><Relationship Type="http://schemas.openxmlformats.org/officeDocument/2006/relationships/hyperlink" Id="rId35" Target="https://github.com/crsh/papaja" TargetMode="External" /><Relationship Type="http://schemas.openxmlformats.org/officeDocument/2006/relationships/hyperlink" Id="rId23" Target="https://github.com/jennyrieck/C-MARINeR" TargetMode="External" /><Relationship Type="http://schemas.openxmlformats.org/officeDocument/2006/relationships/hyperlink" Id="rId51" Target="https://www.R-project.org/" TargetMode="External" /><Relationship Type="http://schemas.openxmlformats.org/officeDocument/2006/relationships/hyperlink" Id="rId69" Target="https://yihui.name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ggplot2.org" TargetMode="External" /><Relationship Type="http://schemas.openxmlformats.org/officeDocument/2006/relationships/hyperlink" Id="rId63" Target="https://CRAN.R-project.org/package=dplyr" TargetMode="External" /><Relationship Type="http://schemas.openxmlformats.org/officeDocument/2006/relationships/hyperlink" Id="rId45" Target="https://CRAN.R-project.org/package=factoextra" TargetMode="External" /><Relationship Type="http://schemas.openxmlformats.org/officeDocument/2006/relationships/hyperlink" Id="rId59" Target="https://CRAN.R-project.org/package=forcats" TargetMode="External" /><Relationship Type="http://schemas.openxmlformats.org/officeDocument/2006/relationships/hyperlink" Id="rId33" Target="https://CRAN.R-project.org/package=gridExtra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71" Target="https://CRAN.R-project.org/package=kableExtra" TargetMode="External" /><Relationship Type="http://schemas.openxmlformats.org/officeDocument/2006/relationships/hyperlink" Id="rId43" Target="https://CRAN.R-project.org/package=purrr" TargetMode="External" /><Relationship Type="http://schemas.openxmlformats.org/officeDocument/2006/relationships/hyperlink" Id="rId67" Target="https://CRAN.R-project.org/package=readr" TargetMode="External" /><Relationship Type="http://schemas.openxmlformats.org/officeDocument/2006/relationships/hyperlink" Id="rId31" Target="https://CRAN.R-project.org/package=reticulate" TargetMode="External" /><Relationship Type="http://schemas.openxmlformats.org/officeDocument/2006/relationships/hyperlink" Id="rId61" Target="https://CRAN.R-project.org/package=stringr" TargetMode="External" /><Relationship Type="http://schemas.openxmlformats.org/officeDocument/2006/relationships/hyperlink" Id="rId49" Target="https://CRAN.R-project.org/package=tibble" TargetMode="External" /><Relationship Type="http://schemas.openxmlformats.org/officeDocument/2006/relationships/hyperlink" Id="rId65" Target="https://CRAN.R-project.org/package=tidyr" TargetMode="External" /><Relationship Type="http://schemas.openxmlformats.org/officeDocument/2006/relationships/hyperlink" Id="rId57" Target="https://CRAN.R-project.org/package=tidyverse" TargetMode="External" /><Relationship Type="http://schemas.openxmlformats.org/officeDocument/2006/relationships/hyperlink" Id="rId38" Target="https://doi.org/10.1016/j.csda.2013.11.006" TargetMode="External" /><Relationship Type="http://schemas.openxmlformats.org/officeDocument/2006/relationships/hyperlink" Id="rId29" Target="https://github.com/crsh/citr" TargetMode="External" /><Relationship Type="http://schemas.openxmlformats.org/officeDocument/2006/relationships/hyperlink" Id="rId35" Target="https://github.com/crsh/papaja" TargetMode="External" /><Relationship Type="http://schemas.openxmlformats.org/officeDocument/2006/relationships/hyperlink" Id="rId23" Target="https://github.com/jennyrieck/C-MARINeR" TargetMode="External" /><Relationship Type="http://schemas.openxmlformats.org/officeDocument/2006/relationships/hyperlink" Id="rId51" Target="https://www.R-project.org/" TargetMode="External" /><Relationship Type="http://schemas.openxmlformats.org/officeDocument/2006/relationships/hyperlink" Id="rId69" Target="https://yihui.name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based APA Manuscript with ‘papaja’</dc:title>
  <dc:creator/>
  <cp:keywords/>
  <dcterms:created xsi:type="dcterms:W3CDTF">2019-05-19T20:40:52Z</dcterms:created>
  <dcterms:modified xsi:type="dcterms:W3CDTF">2019-05-19T20:40:52Z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We can include author notes for, e.g., attribution of data or expanding on roles/locations.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C:\Users\Derek\Documents\R\win-library\3.5\papaja\rmd\apa6.csl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yes</vt:lpwstr>
  </property>
  <property fmtid="{D5CDD505-2E9C-101B-9397-08002B2CF9AE}" pid="11" name="footnotelist">
    <vt:lpwstr>no</vt:lpwstr>
  </property>
  <property fmtid="{D5CDD505-2E9C-101B-9397-08002B2CF9AE}" pid="12" name="graphics">
    <vt:lpwstr>yes</vt:lpwstr>
  </property>
  <property fmtid="{D5CDD505-2E9C-101B-9397-08002B2CF9AE}" pid="13" name="header-includes">
    <vt:lpwstr/>
  </property>
  <property fmtid="{D5CDD505-2E9C-101B-9397-08002B2CF9AE}" pid="14" name="linenumbers">
    <vt:lpwstr>no</vt:lpwstr>
  </property>
  <property fmtid="{D5CDD505-2E9C-101B-9397-08002B2CF9AE}" pid="15" name="linkcolor">
    <vt:lpwstr>blue</vt:lpwstr>
  </property>
  <property fmtid="{D5CDD505-2E9C-101B-9397-08002B2CF9AE}" pid="16" name="mask">
    <vt:lpwstr>no</vt:lpwstr>
  </property>
  <property fmtid="{D5CDD505-2E9C-101B-9397-08002B2CF9AE}" pid="17" name="output">
    <vt:lpwstr>papaja::apa6_docx</vt:lpwstr>
  </property>
  <property fmtid="{D5CDD505-2E9C-101B-9397-08002B2CF9AE}" pid="18" name="shorttitle">
    <vt:lpwstr>RMD paper via papaja</vt:lpwstr>
  </property>
  <property fmtid="{D5CDD505-2E9C-101B-9397-08002B2CF9AE}" pid="19" name="tablelist">
    <vt:lpwstr>no</vt:lpwstr>
  </property>
</Properties>
</file>