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4C26" w14:textId="772FD8BD" w:rsidR="00775AC1" w:rsidRDefault="00E87349" w:rsidP="00E87349">
      <w:pPr>
        <w:pStyle w:val="Heading1"/>
      </w:pPr>
      <w:r>
        <w:t>Cloud foundry concepts</w:t>
      </w:r>
    </w:p>
    <w:p w14:paraId="019ABCEE" w14:textId="05534F29" w:rsidR="00E87349" w:rsidRDefault="00E87349" w:rsidP="00E87349">
      <w:pPr>
        <w:rPr>
          <w:rFonts w:ascii="Source Sans Pro" w:hAnsi="Source Sans Pro"/>
          <w:color w:val="333333"/>
          <w:shd w:val="clear" w:color="auto" w:fill="FFFFFF"/>
        </w:rPr>
      </w:pPr>
      <w:r>
        <w:rPr>
          <w:rFonts w:ascii="Source Sans Pro" w:hAnsi="Source Sans Pro"/>
          <w:color w:val="333333"/>
          <w:shd w:val="clear" w:color="auto" w:fill="FFFFFF"/>
        </w:rPr>
        <w:t>Cloud Foundry is an open source cloud application platform, providing a choice of clouds, developer frameworks, and application services. Cloud Foundry makes it faster and easier to build, test, deploy, and scale applications.</w:t>
      </w:r>
    </w:p>
    <w:p w14:paraId="68108C6B" w14:textId="3BFA46C4" w:rsidR="000C4D0C" w:rsidRDefault="000C4D0C" w:rsidP="00E87349">
      <w:pPr>
        <w:rPr>
          <w:rFonts w:ascii="Source Sans Pro" w:hAnsi="Source Sans Pro"/>
          <w:color w:val="333333"/>
          <w:shd w:val="clear" w:color="auto" w:fill="FFFFFF"/>
        </w:rPr>
      </w:pPr>
    </w:p>
    <w:p w14:paraId="0B79B223" w14:textId="08601E76" w:rsidR="009C37F2" w:rsidRDefault="009C37F2" w:rsidP="009C37F2">
      <w:pPr>
        <w:pStyle w:val="Heading2"/>
        <w:rPr>
          <w:shd w:val="clear" w:color="auto" w:fill="FFFFFF"/>
        </w:rPr>
      </w:pPr>
      <w:r>
        <w:rPr>
          <w:shd w:val="clear" w:color="auto" w:fill="FFFFFF"/>
        </w:rPr>
        <w:t>Cloud Foundry Overview</w:t>
      </w:r>
    </w:p>
    <w:p w14:paraId="6A7D5288" w14:textId="7400096E" w:rsidR="00B16C99" w:rsidRPr="00B16C99" w:rsidRDefault="00B16C99" w:rsidP="00B16C99">
      <w:pPr>
        <w:pStyle w:val="Heading3"/>
      </w:pPr>
      <w:r>
        <w:t>What is a cloud computing platform?</w:t>
      </w:r>
    </w:p>
    <w:p w14:paraId="7D41AB1F" w14:textId="3DBC54D7" w:rsidR="009C37F2" w:rsidRDefault="009C37F2" w:rsidP="009C37F2">
      <w:r>
        <w:t>Broadly speaking, three major categories of cloud computing:</w:t>
      </w:r>
    </w:p>
    <w:p w14:paraId="5B4ECBE1" w14:textId="4FDE9EDA" w:rsidR="009C37F2" w:rsidRDefault="009C37F2" w:rsidP="009C37F2">
      <w:pPr>
        <w:pStyle w:val="ListParagraph"/>
        <w:numPr>
          <w:ilvl w:val="0"/>
          <w:numId w:val="1"/>
        </w:numPr>
      </w:pPr>
      <w:r>
        <w:t>Infrastructure-as-a-Service (IaaS), which provides only a base infrastructure, leaving the end user responsible for the platform and environment configurations necessary to deploy applications. Amazon Web Services and Microsoft Azure are prime examples of IaaS.</w:t>
      </w:r>
    </w:p>
    <w:p w14:paraId="2A80F11B" w14:textId="5B2A7003" w:rsidR="009C37F2" w:rsidRDefault="009C37F2" w:rsidP="009C37F2">
      <w:pPr>
        <w:pStyle w:val="ListParagraph"/>
        <w:numPr>
          <w:ilvl w:val="0"/>
          <w:numId w:val="1"/>
        </w:numPr>
      </w:pPr>
      <w:r>
        <w:t>Platform-as-a-Service (PaaS), which helps to reduce application development overhead (i.e. environment configuration) by providing a ready-to-use platform. PaaS services can be hosted on top of infrastructure provided by an IaaS.</w:t>
      </w:r>
    </w:p>
    <w:p w14:paraId="78F06E3F" w14:textId="77777777" w:rsidR="009C37F2" w:rsidRDefault="009C37F2" w:rsidP="009C37F2">
      <w:pPr>
        <w:pStyle w:val="ListParagraph"/>
        <w:numPr>
          <w:ilvl w:val="0"/>
          <w:numId w:val="1"/>
        </w:numPr>
      </w:pPr>
      <w:r>
        <w:t>Software-as-a-Service (SaaS), which provide a finished product for end users, such as Gmail or Salesforce.</w:t>
      </w:r>
    </w:p>
    <w:p w14:paraId="5A56CF11" w14:textId="61CF8A06" w:rsidR="009C37F2" w:rsidRDefault="009C37F2" w:rsidP="00E87349">
      <w:pPr>
        <w:rPr>
          <w:rFonts w:ascii="Source Sans Pro" w:hAnsi="Source Sans Pro"/>
          <w:color w:val="333333"/>
          <w:shd w:val="clear" w:color="auto" w:fill="FFFFFF"/>
        </w:rPr>
      </w:pPr>
      <w:r>
        <w:rPr>
          <w:noProof/>
        </w:rPr>
        <w:drawing>
          <wp:inline distT="0" distB="0" distL="0" distR="0" wp14:anchorId="4D842FC4" wp14:editId="6D048782">
            <wp:extent cx="6180667" cy="3430108"/>
            <wp:effectExtent l="0" t="0" r="0" b="0"/>
            <wp:docPr id="1" name="Picture 1" descr="The three categories of cloud computing platforms: IaaS, PaaS, and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hree categories of cloud computing platforms: IaaS, PaaS, and Sa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844" cy="3437421"/>
                    </a:xfrm>
                    <a:prstGeom prst="rect">
                      <a:avLst/>
                    </a:prstGeom>
                    <a:noFill/>
                    <a:ln>
                      <a:noFill/>
                    </a:ln>
                  </pic:spPr>
                </pic:pic>
              </a:graphicData>
            </a:graphic>
          </wp:inline>
        </w:drawing>
      </w:r>
    </w:p>
    <w:p w14:paraId="1B387F78" w14:textId="77777777" w:rsidR="009C37F2" w:rsidRPr="009C37F2" w:rsidRDefault="009C37F2" w:rsidP="009C37F2">
      <w:pPr>
        <w:rPr>
          <w:rFonts w:ascii="Source Sans Pro" w:hAnsi="Source Sans Pro"/>
          <w:color w:val="333333"/>
          <w:shd w:val="clear" w:color="auto" w:fill="FFFFFF"/>
        </w:rPr>
      </w:pPr>
      <w:r w:rsidRPr="009C37F2">
        <w:rPr>
          <w:rFonts w:ascii="Source Sans Pro" w:hAnsi="Source Sans Pro"/>
          <w:color w:val="333333"/>
          <w:shd w:val="clear" w:color="auto" w:fill="FFFFFF"/>
        </w:rPr>
        <w:t>Since it’s easy to become a bit confused when thinking about cloud platforms, it’s important to be able to visualize exactly which elements of the compute ecosystem are which party’s responsibilities. While there is no precise definition, it’s reasonable to say that a platform requires only that you take care of your applications.</w:t>
      </w:r>
    </w:p>
    <w:p w14:paraId="617EE686" w14:textId="77777777" w:rsidR="009C37F2" w:rsidRPr="009C37F2" w:rsidRDefault="009C37F2" w:rsidP="009C37F2">
      <w:pPr>
        <w:rPr>
          <w:rFonts w:ascii="Source Sans Pro" w:hAnsi="Source Sans Pro"/>
          <w:color w:val="333333"/>
          <w:shd w:val="clear" w:color="auto" w:fill="FFFFFF"/>
        </w:rPr>
      </w:pPr>
    </w:p>
    <w:p w14:paraId="3203B329" w14:textId="13745524" w:rsidR="009C37F2" w:rsidRPr="009C37F2" w:rsidRDefault="009C37F2" w:rsidP="009C37F2">
      <w:pPr>
        <w:rPr>
          <w:rFonts w:ascii="Source Sans Pro" w:hAnsi="Source Sans Pro"/>
          <w:color w:val="333333"/>
          <w:shd w:val="clear" w:color="auto" w:fill="FFFFFF"/>
        </w:rPr>
      </w:pPr>
      <w:r w:rsidRPr="009C37F2">
        <w:rPr>
          <w:rFonts w:ascii="Source Sans Pro" w:hAnsi="Source Sans Pro"/>
          <w:color w:val="333333"/>
          <w:shd w:val="clear" w:color="auto" w:fill="FFFFFF"/>
        </w:rPr>
        <w:t>With that in mind, the platform layer should be able to provide the following features:</w:t>
      </w:r>
    </w:p>
    <w:p w14:paraId="52FCED4E" w14:textId="77777777" w:rsidR="009C37F2" w:rsidRPr="009C37F2" w:rsidRDefault="009C37F2" w:rsidP="009C37F2">
      <w:pPr>
        <w:pStyle w:val="ListParagraph"/>
        <w:numPr>
          <w:ilvl w:val="0"/>
          <w:numId w:val="2"/>
        </w:numPr>
        <w:rPr>
          <w:rFonts w:ascii="Source Sans Pro" w:hAnsi="Source Sans Pro"/>
          <w:color w:val="333333"/>
          <w:shd w:val="clear" w:color="auto" w:fill="FFFFFF"/>
        </w:rPr>
      </w:pPr>
      <w:r w:rsidRPr="009C37F2">
        <w:rPr>
          <w:rFonts w:ascii="Source Sans Pro" w:hAnsi="Source Sans Pro"/>
          <w:color w:val="333333"/>
          <w:shd w:val="clear" w:color="auto" w:fill="FFFFFF"/>
        </w:rPr>
        <w:t>A suitable environment to run an application.</w:t>
      </w:r>
    </w:p>
    <w:p w14:paraId="4C28B921" w14:textId="77777777" w:rsidR="009C37F2" w:rsidRPr="009C37F2" w:rsidRDefault="009C37F2" w:rsidP="009C37F2">
      <w:pPr>
        <w:pStyle w:val="ListParagraph"/>
        <w:numPr>
          <w:ilvl w:val="0"/>
          <w:numId w:val="2"/>
        </w:numPr>
        <w:rPr>
          <w:rFonts w:ascii="Source Sans Pro" w:hAnsi="Source Sans Pro"/>
          <w:color w:val="333333"/>
          <w:shd w:val="clear" w:color="auto" w:fill="FFFFFF"/>
        </w:rPr>
      </w:pPr>
      <w:r w:rsidRPr="009C37F2">
        <w:rPr>
          <w:rFonts w:ascii="Source Sans Pro" w:hAnsi="Source Sans Pro"/>
          <w:color w:val="333333"/>
          <w:shd w:val="clear" w:color="auto" w:fill="FFFFFF"/>
        </w:rPr>
        <w:t>Application life cycle management.</w:t>
      </w:r>
    </w:p>
    <w:p w14:paraId="51530120" w14:textId="77777777" w:rsidR="009C37F2" w:rsidRPr="009C37F2" w:rsidRDefault="009C37F2" w:rsidP="009C37F2">
      <w:pPr>
        <w:pStyle w:val="ListParagraph"/>
        <w:numPr>
          <w:ilvl w:val="0"/>
          <w:numId w:val="2"/>
        </w:numPr>
        <w:rPr>
          <w:rFonts w:ascii="Source Sans Pro" w:hAnsi="Source Sans Pro"/>
          <w:color w:val="333333"/>
          <w:shd w:val="clear" w:color="auto" w:fill="FFFFFF"/>
        </w:rPr>
      </w:pPr>
      <w:r w:rsidRPr="009C37F2">
        <w:rPr>
          <w:rFonts w:ascii="Source Sans Pro" w:hAnsi="Source Sans Pro"/>
          <w:color w:val="333333"/>
          <w:shd w:val="clear" w:color="auto" w:fill="FFFFFF"/>
        </w:rPr>
        <w:t>Self-healing capacity.</w:t>
      </w:r>
    </w:p>
    <w:p w14:paraId="785F162B" w14:textId="77777777" w:rsidR="009C37F2" w:rsidRPr="009C37F2" w:rsidRDefault="009C37F2" w:rsidP="009C37F2">
      <w:pPr>
        <w:pStyle w:val="ListParagraph"/>
        <w:numPr>
          <w:ilvl w:val="0"/>
          <w:numId w:val="2"/>
        </w:numPr>
        <w:rPr>
          <w:rFonts w:ascii="Source Sans Pro" w:hAnsi="Source Sans Pro"/>
          <w:color w:val="333333"/>
          <w:shd w:val="clear" w:color="auto" w:fill="FFFFFF"/>
        </w:rPr>
      </w:pPr>
      <w:r w:rsidRPr="009C37F2">
        <w:rPr>
          <w:rFonts w:ascii="Source Sans Pro" w:hAnsi="Source Sans Pro"/>
          <w:color w:val="333333"/>
          <w:shd w:val="clear" w:color="auto" w:fill="FFFFFF"/>
        </w:rPr>
        <w:t>Centralized management of applications.</w:t>
      </w:r>
    </w:p>
    <w:p w14:paraId="72E25EE3" w14:textId="77777777" w:rsidR="009C37F2" w:rsidRPr="009C37F2" w:rsidRDefault="009C37F2" w:rsidP="009C37F2">
      <w:pPr>
        <w:pStyle w:val="ListParagraph"/>
        <w:numPr>
          <w:ilvl w:val="0"/>
          <w:numId w:val="2"/>
        </w:numPr>
        <w:rPr>
          <w:rFonts w:ascii="Source Sans Pro" w:hAnsi="Source Sans Pro"/>
          <w:color w:val="333333"/>
          <w:shd w:val="clear" w:color="auto" w:fill="FFFFFF"/>
        </w:rPr>
      </w:pPr>
      <w:r w:rsidRPr="009C37F2">
        <w:rPr>
          <w:rFonts w:ascii="Source Sans Pro" w:hAnsi="Source Sans Pro"/>
          <w:color w:val="333333"/>
          <w:shd w:val="clear" w:color="auto" w:fill="FFFFFF"/>
        </w:rPr>
        <w:t>A distributed environment.</w:t>
      </w:r>
    </w:p>
    <w:p w14:paraId="715F20A0" w14:textId="77777777" w:rsidR="009C37F2" w:rsidRPr="009C37F2" w:rsidRDefault="009C37F2" w:rsidP="009C37F2">
      <w:pPr>
        <w:pStyle w:val="ListParagraph"/>
        <w:numPr>
          <w:ilvl w:val="0"/>
          <w:numId w:val="2"/>
        </w:numPr>
        <w:rPr>
          <w:rFonts w:ascii="Source Sans Pro" w:hAnsi="Source Sans Pro"/>
          <w:color w:val="333333"/>
          <w:shd w:val="clear" w:color="auto" w:fill="FFFFFF"/>
        </w:rPr>
      </w:pPr>
      <w:r w:rsidRPr="009C37F2">
        <w:rPr>
          <w:rFonts w:ascii="Source Sans Pro" w:hAnsi="Source Sans Pro"/>
          <w:color w:val="333333"/>
          <w:shd w:val="clear" w:color="auto" w:fill="FFFFFF"/>
        </w:rPr>
        <w:t>Easy integration.</w:t>
      </w:r>
    </w:p>
    <w:p w14:paraId="71EEF57F" w14:textId="69738532" w:rsidR="009C37F2" w:rsidRPr="009C37F2" w:rsidRDefault="009C37F2" w:rsidP="009C37F2">
      <w:pPr>
        <w:pStyle w:val="ListParagraph"/>
        <w:numPr>
          <w:ilvl w:val="0"/>
          <w:numId w:val="2"/>
        </w:numPr>
        <w:rPr>
          <w:rFonts w:ascii="Source Sans Pro" w:hAnsi="Source Sans Pro"/>
          <w:color w:val="333333"/>
          <w:shd w:val="clear" w:color="auto" w:fill="FFFFFF"/>
        </w:rPr>
      </w:pPr>
      <w:r w:rsidRPr="009C37F2">
        <w:rPr>
          <w:rFonts w:ascii="Source Sans Pro" w:hAnsi="Source Sans Pro"/>
          <w:color w:val="333333"/>
          <w:shd w:val="clear" w:color="auto" w:fill="FFFFFF"/>
        </w:rPr>
        <w:t>Easy maintenance (such as upgrades, patches, etc.).</w:t>
      </w:r>
    </w:p>
    <w:p w14:paraId="2071E7EF" w14:textId="17D78E3B" w:rsidR="000C4D0C" w:rsidRDefault="000C4D0C" w:rsidP="009C37F2">
      <w:pPr>
        <w:pStyle w:val="Heading2"/>
        <w:rPr>
          <w:shd w:val="clear" w:color="auto" w:fill="FFFFFF"/>
        </w:rPr>
      </w:pPr>
      <w:r>
        <w:rPr>
          <w:shd w:val="clear" w:color="auto" w:fill="FFFFFF"/>
        </w:rPr>
        <w:t>History of Cloud Foundry</w:t>
      </w:r>
    </w:p>
    <w:p w14:paraId="4604C3E7" w14:textId="36D41C69" w:rsidR="00331C72" w:rsidRDefault="00331C72" w:rsidP="00E87349"/>
    <w:p w14:paraId="0252A909" w14:textId="0384D48F" w:rsidR="00BB645E" w:rsidRDefault="00BB645E" w:rsidP="00BB645E">
      <w:pPr>
        <w:pStyle w:val="Heading2"/>
      </w:pPr>
      <w:r>
        <w:rPr>
          <w:rFonts w:hint="eastAsia"/>
        </w:rPr>
        <w:t>Cloud</w:t>
      </w:r>
      <w:r>
        <w:t xml:space="preserve"> Foundry Orgs, Spaces</w:t>
      </w:r>
    </w:p>
    <w:p w14:paraId="19DB1EE9" w14:textId="77777777" w:rsidR="00BB645E" w:rsidRPr="00BB645E" w:rsidRDefault="00BB645E" w:rsidP="00BB645E"/>
    <w:tbl>
      <w:tblPr>
        <w:tblStyle w:val="GridTable1Light-Accent1"/>
        <w:tblW w:w="0" w:type="auto"/>
        <w:tblLook w:val="04A0" w:firstRow="1" w:lastRow="0" w:firstColumn="1" w:lastColumn="0" w:noHBand="0" w:noVBand="1"/>
      </w:tblPr>
      <w:tblGrid>
        <w:gridCol w:w="2538"/>
        <w:gridCol w:w="2550"/>
        <w:gridCol w:w="1904"/>
        <w:gridCol w:w="2358"/>
      </w:tblGrid>
      <w:tr w:rsidR="002C3EC6" w14:paraId="6A664EBB" w14:textId="41424A77" w:rsidTr="002C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810C559" w14:textId="4EFD72FA" w:rsidR="002C3EC6" w:rsidRDefault="002C3EC6" w:rsidP="00BB645E">
            <w:r>
              <w:t>Cloud Foundry</w:t>
            </w:r>
          </w:p>
        </w:tc>
        <w:tc>
          <w:tcPr>
            <w:tcW w:w="2550" w:type="dxa"/>
          </w:tcPr>
          <w:p w14:paraId="666FCF08" w14:textId="2B314F0A" w:rsidR="002C3EC6" w:rsidRDefault="002C3EC6" w:rsidP="00BB645E">
            <w:pPr>
              <w:cnfStyle w:val="100000000000" w:firstRow="1" w:lastRow="0" w:firstColumn="0" w:lastColumn="0" w:oddVBand="0" w:evenVBand="0" w:oddHBand="0" w:evenHBand="0" w:firstRowFirstColumn="0" w:firstRowLastColumn="0" w:lastRowFirstColumn="0" w:lastRowLastColumn="0"/>
            </w:pPr>
            <w:r>
              <w:t>SAP Cloud Foundry</w:t>
            </w:r>
          </w:p>
        </w:tc>
        <w:tc>
          <w:tcPr>
            <w:tcW w:w="1904" w:type="dxa"/>
          </w:tcPr>
          <w:p w14:paraId="01632797" w14:textId="39BFCF91" w:rsidR="002C3EC6" w:rsidRDefault="002C3EC6" w:rsidP="00BB645E">
            <w:pPr>
              <w:cnfStyle w:val="100000000000" w:firstRow="1" w:lastRow="0" w:firstColumn="0" w:lastColumn="0" w:oddVBand="0" w:evenVBand="0" w:oddHBand="0" w:evenHBand="0" w:firstRowFirstColumn="0" w:firstRowLastColumn="0" w:lastRowFirstColumn="0" w:lastRowLastColumn="0"/>
            </w:pPr>
            <w:r>
              <w:t>Contains</w:t>
            </w:r>
          </w:p>
        </w:tc>
        <w:tc>
          <w:tcPr>
            <w:tcW w:w="2358" w:type="dxa"/>
          </w:tcPr>
          <w:p w14:paraId="272F8BFA" w14:textId="1E857841" w:rsidR="002C3EC6" w:rsidRDefault="002C3EC6" w:rsidP="00BB645E">
            <w:pPr>
              <w:cnfStyle w:val="100000000000" w:firstRow="1" w:lastRow="0" w:firstColumn="0" w:lastColumn="0" w:oddVBand="0" w:evenVBand="0" w:oddHBand="0" w:evenHBand="0" w:firstRowFirstColumn="0" w:firstRowLastColumn="0" w:lastRowFirstColumn="0" w:lastRowLastColumn="0"/>
            </w:pPr>
            <w:r>
              <w:t>Description</w:t>
            </w:r>
          </w:p>
        </w:tc>
      </w:tr>
      <w:tr w:rsidR="002C3EC6" w14:paraId="5E055AF5" w14:textId="6619BA01" w:rsidTr="002C3EC6">
        <w:tc>
          <w:tcPr>
            <w:cnfStyle w:val="001000000000" w:firstRow="0" w:lastRow="0" w:firstColumn="1" w:lastColumn="0" w:oddVBand="0" w:evenVBand="0" w:oddHBand="0" w:evenHBand="0" w:firstRowFirstColumn="0" w:firstRowLastColumn="0" w:lastRowFirstColumn="0" w:lastRowLastColumn="0"/>
            <w:tcW w:w="2538" w:type="dxa"/>
          </w:tcPr>
          <w:p w14:paraId="71E73A31" w14:textId="593B8A16" w:rsidR="002C3EC6" w:rsidRPr="00BB645E" w:rsidRDefault="002C3EC6" w:rsidP="00BB645E">
            <w:pPr>
              <w:rPr>
                <w:b w:val="0"/>
              </w:rPr>
            </w:pPr>
            <w:r w:rsidRPr="00BB645E">
              <w:rPr>
                <w:b w:val="0"/>
              </w:rPr>
              <w:t>Foundation</w:t>
            </w:r>
          </w:p>
        </w:tc>
        <w:tc>
          <w:tcPr>
            <w:tcW w:w="2550" w:type="dxa"/>
          </w:tcPr>
          <w:p w14:paraId="4EB056F9" w14:textId="54094E31" w:rsidR="002C3EC6" w:rsidRDefault="002C3EC6" w:rsidP="00BB645E">
            <w:pPr>
              <w:cnfStyle w:val="000000000000" w:firstRow="0" w:lastRow="0" w:firstColumn="0" w:lastColumn="0" w:oddVBand="0" w:evenVBand="0" w:oddHBand="0" w:evenHBand="0" w:firstRowFirstColumn="0" w:firstRowLastColumn="0" w:lastRowFirstColumn="0" w:lastRowLastColumn="0"/>
            </w:pPr>
            <w:r>
              <w:t>Global Account</w:t>
            </w:r>
          </w:p>
        </w:tc>
        <w:tc>
          <w:tcPr>
            <w:tcW w:w="1904" w:type="dxa"/>
          </w:tcPr>
          <w:p w14:paraId="17680470" w14:textId="5BD1971E" w:rsidR="002C3EC6" w:rsidRDefault="002C3EC6" w:rsidP="00BB645E">
            <w:pPr>
              <w:cnfStyle w:val="000000000000" w:firstRow="0" w:lastRow="0" w:firstColumn="0" w:lastColumn="0" w:oddVBand="0" w:evenVBand="0" w:oddHBand="0" w:evenHBand="0" w:firstRowFirstColumn="0" w:firstRowLastColumn="0" w:lastRowFirstColumn="0" w:lastRowLastColumn="0"/>
              <w:rPr>
                <w:rFonts w:ascii="Source Sans Pro" w:hAnsi="Source Sans Pro"/>
                <w:color w:val="333333"/>
                <w:shd w:val="clear" w:color="auto" w:fill="FDFDFD"/>
              </w:rPr>
            </w:pPr>
            <w:r>
              <w:rPr>
                <w:rFonts w:ascii="Source Sans Pro" w:hAnsi="Source Sans Pro"/>
                <w:color w:val="333333"/>
                <w:shd w:val="clear" w:color="auto" w:fill="FDFDFD"/>
              </w:rPr>
              <w:t>Orgs</w:t>
            </w:r>
          </w:p>
        </w:tc>
        <w:tc>
          <w:tcPr>
            <w:tcW w:w="2358" w:type="dxa"/>
          </w:tcPr>
          <w:p w14:paraId="04019D72" w14:textId="53F27464" w:rsidR="002C3EC6" w:rsidRDefault="002C3EC6" w:rsidP="00BB645E">
            <w:pPr>
              <w:cnfStyle w:val="000000000000" w:firstRow="0" w:lastRow="0" w:firstColumn="0" w:lastColumn="0" w:oddVBand="0" w:evenVBand="0" w:oddHBand="0" w:evenHBand="0" w:firstRowFirstColumn="0" w:firstRowLastColumn="0" w:lastRowFirstColumn="0" w:lastRowLastColumn="0"/>
            </w:pPr>
            <w:r>
              <w:rPr>
                <w:rFonts w:ascii="Source Sans Pro" w:hAnsi="Source Sans Pro"/>
                <w:color w:val="333333"/>
                <w:shd w:val="clear" w:color="auto" w:fill="FDFDFD"/>
              </w:rPr>
              <w:t>For shared components: domains, service tiles, and the physical infrastructure</w:t>
            </w:r>
          </w:p>
        </w:tc>
      </w:tr>
      <w:tr w:rsidR="002C3EC6" w14:paraId="2157E0FF" w14:textId="4D01D32A" w:rsidTr="002C3EC6">
        <w:tc>
          <w:tcPr>
            <w:cnfStyle w:val="001000000000" w:firstRow="0" w:lastRow="0" w:firstColumn="1" w:lastColumn="0" w:oddVBand="0" w:evenVBand="0" w:oddHBand="0" w:evenHBand="0" w:firstRowFirstColumn="0" w:firstRowLastColumn="0" w:lastRowFirstColumn="0" w:lastRowLastColumn="0"/>
            <w:tcW w:w="2538" w:type="dxa"/>
          </w:tcPr>
          <w:p w14:paraId="0E7F544E" w14:textId="41B9A0CC" w:rsidR="002C3EC6" w:rsidRPr="00BB645E" w:rsidRDefault="002C3EC6" w:rsidP="00BB645E">
            <w:pPr>
              <w:rPr>
                <w:b w:val="0"/>
              </w:rPr>
            </w:pPr>
            <w:r w:rsidRPr="00BB645E">
              <w:rPr>
                <w:b w:val="0"/>
              </w:rPr>
              <w:t>Org</w:t>
            </w:r>
          </w:p>
        </w:tc>
        <w:tc>
          <w:tcPr>
            <w:tcW w:w="2550" w:type="dxa"/>
          </w:tcPr>
          <w:p w14:paraId="45D1EC02" w14:textId="0DC7B29D" w:rsidR="002C3EC6" w:rsidRDefault="002C3EC6" w:rsidP="00BB645E">
            <w:pPr>
              <w:cnfStyle w:val="000000000000" w:firstRow="0" w:lastRow="0" w:firstColumn="0" w:lastColumn="0" w:oddVBand="0" w:evenVBand="0" w:oddHBand="0" w:evenHBand="0" w:firstRowFirstColumn="0" w:firstRowLastColumn="0" w:lastRowFirstColumn="0" w:lastRowLastColumn="0"/>
            </w:pPr>
            <w:r>
              <w:t>Subaccount</w:t>
            </w:r>
          </w:p>
        </w:tc>
        <w:tc>
          <w:tcPr>
            <w:tcW w:w="1904" w:type="dxa"/>
          </w:tcPr>
          <w:p w14:paraId="7CA52EDE" w14:textId="55AFADBB" w:rsidR="002C3EC6" w:rsidRDefault="002C3EC6" w:rsidP="00BB645E">
            <w:pPr>
              <w:cnfStyle w:val="000000000000" w:firstRow="0" w:lastRow="0" w:firstColumn="0" w:lastColumn="0" w:oddVBand="0" w:evenVBand="0" w:oddHBand="0" w:evenHBand="0" w:firstRowFirstColumn="0" w:firstRowLastColumn="0" w:lastRowFirstColumn="0" w:lastRowLastColumn="0"/>
              <w:rPr>
                <w:rFonts w:ascii="Source Sans Pro" w:hAnsi="Source Sans Pro"/>
                <w:color w:val="333333"/>
                <w:shd w:val="clear" w:color="auto" w:fill="FDFDFD"/>
              </w:rPr>
            </w:pPr>
            <w:r>
              <w:rPr>
                <w:rFonts w:ascii="Source Sans Pro" w:hAnsi="Source Sans Pro"/>
                <w:color w:val="333333"/>
                <w:shd w:val="clear" w:color="auto" w:fill="FDFDFD"/>
              </w:rPr>
              <w:t>Spaces</w:t>
            </w:r>
          </w:p>
        </w:tc>
        <w:tc>
          <w:tcPr>
            <w:tcW w:w="2358" w:type="dxa"/>
          </w:tcPr>
          <w:p w14:paraId="5A0EC74D" w14:textId="0C7EEF0B" w:rsidR="002C3EC6" w:rsidRDefault="002C3EC6" w:rsidP="00BB645E">
            <w:pPr>
              <w:cnfStyle w:val="000000000000" w:firstRow="0" w:lastRow="0" w:firstColumn="0" w:lastColumn="0" w:oddVBand="0" w:evenVBand="0" w:oddHBand="0" w:evenHBand="0" w:firstRowFirstColumn="0" w:firstRowLastColumn="0" w:lastRowFirstColumn="0" w:lastRowLastColumn="0"/>
            </w:pPr>
            <w:r>
              <w:rPr>
                <w:rFonts w:ascii="Source Sans Pro" w:hAnsi="Source Sans Pro"/>
                <w:color w:val="333333"/>
                <w:shd w:val="clear" w:color="auto" w:fill="FDFDFD"/>
              </w:rPr>
              <w:t>A group of users who share a resource quota plan, apps, services availability, and custom domains</w:t>
            </w:r>
          </w:p>
        </w:tc>
      </w:tr>
      <w:tr w:rsidR="002C3EC6" w14:paraId="6A265C2C" w14:textId="0400B509" w:rsidTr="002C3EC6">
        <w:tc>
          <w:tcPr>
            <w:cnfStyle w:val="001000000000" w:firstRow="0" w:lastRow="0" w:firstColumn="1" w:lastColumn="0" w:oddVBand="0" w:evenVBand="0" w:oddHBand="0" w:evenHBand="0" w:firstRowFirstColumn="0" w:firstRowLastColumn="0" w:lastRowFirstColumn="0" w:lastRowLastColumn="0"/>
            <w:tcW w:w="2538" w:type="dxa"/>
          </w:tcPr>
          <w:p w14:paraId="435F4910" w14:textId="019A3719" w:rsidR="002C3EC6" w:rsidRPr="00BB645E" w:rsidRDefault="002C3EC6" w:rsidP="00BB645E">
            <w:pPr>
              <w:rPr>
                <w:b w:val="0"/>
              </w:rPr>
            </w:pPr>
            <w:r w:rsidRPr="00BB645E">
              <w:rPr>
                <w:b w:val="0"/>
              </w:rPr>
              <w:t>Space</w:t>
            </w:r>
          </w:p>
        </w:tc>
        <w:tc>
          <w:tcPr>
            <w:tcW w:w="2550" w:type="dxa"/>
          </w:tcPr>
          <w:p w14:paraId="3982CE05" w14:textId="79EA6EB8" w:rsidR="002C3EC6" w:rsidRDefault="002C3EC6" w:rsidP="00BB645E">
            <w:pPr>
              <w:cnfStyle w:val="000000000000" w:firstRow="0" w:lastRow="0" w:firstColumn="0" w:lastColumn="0" w:oddVBand="0" w:evenVBand="0" w:oddHBand="0" w:evenHBand="0" w:firstRowFirstColumn="0" w:firstRowLastColumn="0" w:lastRowFirstColumn="0" w:lastRowLastColumn="0"/>
            </w:pPr>
            <w:r>
              <w:t>Space</w:t>
            </w:r>
          </w:p>
        </w:tc>
        <w:tc>
          <w:tcPr>
            <w:tcW w:w="1904" w:type="dxa"/>
          </w:tcPr>
          <w:p w14:paraId="796E0987" w14:textId="33A494A3" w:rsidR="002C3EC6" w:rsidRDefault="002C3EC6" w:rsidP="00BB645E">
            <w:pPr>
              <w:cnfStyle w:val="000000000000" w:firstRow="0" w:lastRow="0" w:firstColumn="0" w:lastColumn="0" w:oddVBand="0" w:evenVBand="0" w:oddHBand="0" w:evenHBand="0" w:firstRowFirstColumn="0" w:firstRowLastColumn="0" w:lastRowFirstColumn="0" w:lastRowLastColumn="0"/>
              <w:rPr>
                <w:rFonts w:ascii="Source Sans Pro" w:hAnsi="Source Sans Pro"/>
                <w:color w:val="333333"/>
                <w:shd w:val="clear" w:color="auto" w:fill="FDFDFD"/>
              </w:rPr>
            </w:pPr>
            <w:r>
              <w:rPr>
                <w:rFonts w:ascii="Source Sans Pro" w:hAnsi="Source Sans Pro"/>
                <w:color w:val="333333"/>
                <w:shd w:val="clear" w:color="auto" w:fill="FDFDFD"/>
              </w:rPr>
              <w:t>Apps</w:t>
            </w:r>
          </w:p>
        </w:tc>
        <w:tc>
          <w:tcPr>
            <w:tcW w:w="2358" w:type="dxa"/>
          </w:tcPr>
          <w:p w14:paraId="2A2DC880" w14:textId="6803EB7D" w:rsidR="002C3EC6" w:rsidRDefault="002C3EC6" w:rsidP="00BB645E">
            <w:pPr>
              <w:cnfStyle w:val="000000000000" w:firstRow="0" w:lastRow="0" w:firstColumn="0" w:lastColumn="0" w:oddVBand="0" w:evenVBand="0" w:oddHBand="0" w:evenHBand="0" w:firstRowFirstColumn="0" w:firstRowLastColumn="0" w:lastRowFirstColumn="0" w:lastRowLastColumn="0"/>
            </w:pPr>
            <w:r>
              <w:rPr>
                <w:rFonts w:ascii="Source Sans Pro" w:hAnsi="Source Sans Pro"/>
                <w:color w:val="333333"/>
                <w:shd w:val="clear" w:color="auto" w:fill="FDFDFD"/>
              </w:rPr>
              <w:t>A shared location for app development, deployment, and maintenance</w:t>
            </w:r>
          </w:p>
        </w:tc>
      </w:tr>
    </w:tbl>
    <w:p w14:paraId="649A273D" w14:textId="4BE6FD31" w:rsidR="00BB645E" w:rsidRDefault="00BB645E" w:rsidP="00BB645E"/>
    <w:p w14:paraId="778C21AE" w14:textId="5437815E" w:rsidR="002C3EC6" w:rsidRDefault="002C3EC6" w:rsidP="00BB645E">
      <w:r>
        <w:t>Dev, Quality, Production environment should be divided from Global account layer.</w:t>
      </w:r>
    </w:p>
    <w:p w14:paraId="3930853F" w14:textId="77777777" w:rsidR="002C3EC6" w:rsidRDefault="002C3EC6" w:rsidP="00FB4579">
      <w:pPr>
        <w:pStyle w:val="Heading3"/>
      </w:pPr>
      <w:r>
        <w:t>Foundations</w:t>
      </w:r>
    </w:p>
    <w:p w14:paraId="1574A073" w14:textId="77777777" w:rsidR="002C3EC6" w:rsidRDefault="002C3EC6" w:rsidP="002C3EC6">
      <w:r>
        <w:t>Foundations roughly map to a company and environments. See the following diagram for an illustration:</w:t>
      </w:r>
    </w:p>
    <w:p w14:paraId="363C1818" w14:textId="11B8EC8C" w:rsidR="002C3EC6" w:rsidRDefault="00EB485C" w:rsidP="002C3EC6">
      <w:r w:rsidRPr="00EB485C">
        <w:lastRenderedPageBreak/>
        <w:drawing>
          <wp:inline distT="0" distB="0" distL="0" distR="0" wp14:anchorId="7E576011" wp14:editId="790D68A1">
            <wp:extent cx="515302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3933825"/>
                    </a:xfrm>
                    <a:prstGeom prst="rect">
                      <a:avLst/>
                    </a:prstGeom>
                  </pic:spPr>
                </pic:pic>
              </a:graphicData>
            </a:graphic>
          </wp:inline>
        </w:drawing>
      </w:r>
    </w:p>
    <w:p w14:paraId="3A753306" w14:textId="77777777" w:rsidR="002C3EC6" w:rsidRDefault="002C3EC6" w:rsidP="002C3EC6">
      <w:r>
        <w:t>The diagram shows a box on the left labeled 'Your Company' and a box on the right labeled 'Cloud Foundry'. In the 'Your Company' box, there are two smaller boxes labeled 'Company' and 'Environment', which are linked to a section in the 'PCF Organizational Model' labeled 'Foundation'.</w:t>
      </w:r>
    </w:p>
    <w:p w14:paraId="3D335302" w14:textId="77777777" w:rsidR="002C3EC6" w:rsidRDefault="002C3EC6" w:rsidP="002C3EC6"/>
    <w:p w14:paraId="750447CB" w14:textId="77777777" w:rsidR="002C3EC6" w:rsidRDefault="002C3EC6" w:rsidP="00FB4579">
      <w:pPr>
        <w:pStyle w:val="Heading3"/>
      </w:pPr>
      <w:r>
        <w:t>Orgs</w:t>
      </w:r>
    </w:p>
    <w:p w14:paraId="40432F4E" w14:textId="77777777" w:rsidR="002C3EC6" w:rsidRDefault="002C3EC6" w:rsidP="002C3EC6">
      <w:r>
        <w:t xml:space="preserve">Orgs most often map to a business unit in a </w:t>
      </w:r>
      <w:proofErr w:type="gramStart"/>
      <w:r>
        <w:t>particular foundation</w:t>
      </w:r>
      <w:proofErr w:type="gramEnd"/>
      <w:r>
        <w:t>. To understand how you can map your company structure to a Cloud Foundry org, see the diagram below:</w:t>
      </w:r>
    </w:p>
    <w:p w14:paraId="6C7AA737" w14:textId="0BFA5014" w:rsidR="002C3EC6" w:rsidRDefault="00EB485C" w:rsidP="002C3EC6">
      <w:r>
        <w:rPr>
          <w:noProof/>
        </w:rPr>
        <w:lastRenderedPageBreak/>
        <w:drawing>
          <wp:inline distT="0" distB="0" distL="0" distR="0" wp14:anchorId="04BE01CE" wp14:editId="24F2A6EB">
            <wp:extent cx="5359400" cy="4046855"/>
            <wp:effectExtent l="0" t="0" r="0" b="0"/>
            <wp:docPr id="6" name="Picture 6" descr="orgs can encompass Business Units, environments, teams, or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gs can encompass Business Units, environments, teams, or produ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4046855"/>
                    </a:xfrm>
                    <a:prstGeom prst="rect">
                      <a:avLst/>
                    </a:prstGeom>
                    <a:noFill/>
                    <a:ln>
                      <a:noFill/>
                    </a:ln>
                  </pic:spPr>
                </pic:pic>
              </a:graphicData>
            </a:graphic>
          </wp:inline>
        </w:drawing>
      </w:r>
      <w:bookmarkStart w:id="0" w:name="_GoBack"/>
      <w:bookmarkEnd w:id="0"/>
    </w:p>
    <w:p w14:paraId="386DC7B1" w14:textId="77777777" w:rsidR="002C3EC6" w:rsidRDefault="002C3EC6" w:rsidP="002C3EC6">
      <w:r>
        <w:t>orgs can encompass Business Units, environments, teams, or products</w:t>
      </w:r>
    </w:p>
    <w:p w14:paraId="66929B8D" w14:textId="77777777" w:rsidR="002C3EC6" w:rsidRDefault="002C3EC6" w:rsidP="002C3EC6"/>
    <w:p w14:paraId="216670A7" w14:textId="77777777" w:rsidR="002C3EC6" w:rsidRDefault="002C3EC6" w:rsidP="00FB4579">
      <w:pPr>
        <w:pStyle w:val="Heading3"/>
        <w:rPr>
          <w:rFonts w:hint="eastAsia"/>
        </w:rPr>
      </w:pPr>
      <w:r>
        <w:t>Spaces</w:t>
      </w:r>
    </w:p>
    <w:p w14:paraId="71FC76E1" w14:textId="77777777" w:rsidR="002C3EC6" w:rsidRDefault="002C3EC6" w:rsidP="002C3EC6">
      <w:r>
        <w:t xml:space="preserve">Spaces can encompass teams, products and specific </w:t>
      </w:r>
      <w:proofErr w:type="spellStart"/>
      <w:r>
        <w:t>deployables</w:t>
      </w:r>
      <w:proofErr w:type="spellEnd"/>
      <w:r>
        <w:t>. To understand how you can map your company structure to a Cloud Foundry space, see the diagram below:</w:t>
      </w:r>
    </w:p>
    <w:p w14:paraId="7D698920" w14:textId="37111A44" w:rsidR="002C3EC6" w:rsidRDefault="00EB485C" w:rsidP="002C3EC6">
      <w:r>
        <w:rPr>
          <w:noProof/>
        </w:rPr>
        <w:lastRenderedPageBreak/>
        <w:drawing>
          <wp:inline distT="0" distB="0" distL="0" distR="0" wp14:anchorId="08C2FF3D" wp14:editId="102358C4">
            <wp:extent cx="5316855" cy="3987800"/>
            <wp:effectExtent l="0" t="0" r="0" b="0"/>
            <wp:docPr id="5" name="Picture 5" descr="Spaces can encompass Teams, Products and specific deploy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s can encompass Teams, Products and specific deploy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855" cy="3987800"/>
                    </a:xfrm>
                    <a:prstGeom prst="rect">
                      <a:avLst/>
                    </a:prstGeom>
                    <a:noFill/>
                    <a:ln>
                      <a:noFill/>
                    </a:ln>
                  </pic:spPr>
                </pic:pic>
              </a:graphicData>
            </a:graphic>
          </wp:inline>
        </w:drawing>
      </w:r>
    </w:p>
    <w:p w14:paraId="54BE8656" w14:textId="77777777" w:rsidR="002C3EC6" w:rsidRDefault="002C3EC6" w:rsidP="002C3EC6">
      <w:r>
        <w:t xml:space="preserve">Spaces can encompass Teams, Products and specific </w:t>
      </w:r>
      <w:proofErr w:type="spellStart"/>
      <w:r>
        <w:t>deployables</w:t>
      </w:r>
      <w:proofErr w:type="spellEnd"/>
    </w:p>
    <w:p w14:paraId="706AD693" w14:textId="77777777" w:rsidR="002C3EC6" w:rsidRPr="00BB645E" w:rsidRDefault="002C3EC6" w:rsidP="00BB645E"/>
    <w:p w14:paraId="054D64A6" w14:textId="5CC09480" w:rsidR="00BB645E" w:rsidRDefault="00BB645E" w:rsidP="00E87349">
      <w:pPr>
        <w:rPr>
          <w:rFonts w:hint="eastAsia"/>
        </w:rPr>
      </w:pPr>
      <w:r>
        <w:rPr>
          <w:noProof/>
        </w:rPr>
        <w:drawing>
          <wp:inline distT="0" distB="0" distL="0" distR="0" wp14:anchorId="630DDA20" wp14:editId="2DC9EE9F">
            <wp:extent cx="5943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7850"/>
                    </a:xfrm>
                    <a:prstGeom prst="rect">
                      <a:avLst/>
                    </a:prstGeom>
                  </pic:spPr>
                </pic:pic>
              </a:graphicData>
            </a:graphic>
          </wp:inline>
        </w:drawing>
      </w:r>
    </w:p>
    <w:p w14:paraId="040DBFE6" w14:textId="1FFF8D5A" w:rsidR="00331C72" w:rsidRDefault="00331C72" w:rsidP="00331C72">
      <w:pPr>
        <w:pStyle w:val="Heading1"/>
      </w:pPr>
      <w:r>
        <w:rPr>
          <w:rFonts w:hint="eastAsia"/>
        </w:rPr>
        <w:lastRenderedPageBreak/>
        <w:t>Diego</w:t>
      </w:r>
      <w:r>
        <w:t xml:space="preserve"> </w:t>
      </w:r>
      <w:r w:rsidR="000C4D0C">
        <w:t xml:space="preserve">Components </w:t>
      </w:r>
      <w:r>
        <w:t>in Cloud Foundry</w:t>
      </w:r>
    </w:p>
    <w:p w14:paraId="29DE8AF7" w14:textId="2805D04D" w:rsidR="000C4D0C" w:rsidRDefault="000C4D0C" w:rsidP="000C4D0C">
      <w:pPr>
        <w:pStyle w:val="Heading2"/>
      </w:pPr>
      <w:r w:rsidRPr="000C4D0C">
        <w:t>What does Diego do?</w:t>
      </w:r>
    </w:p>
    <w:p w14:paraId="0214F431" w14:textId="04A429EA" w:rsidR="000C4D0C" w:rsidRDefault="000C4D0C" w:rsidP="000C4D0C">
      <w:r>
        <w:t xml:space="preserve">Diego </w:t>
      </w:r>
      <w:r w:rsidR="0018583B">
        <w:t>is the container runtime that tailor-made for the CF Application Runtime</w:t>
      </w:r>
    </w:p>
    <w:p w14:paraId="28E8A4B1" w14:textId="57E7E075" w:rsidR="00321220" w:rsidRDefault="00D85C9C" w:rsidP="00D85C9C">
      <w:pPr>
        <w:pStyle w:val="Heading2"/>
      </w:pPr>
      <w:r w:rsidRPr="00D85C9C">
        <w:t>Sharing Service Instances</w:t>
      </w:r>
    </w:p>
    <w:p w14:paraId="7F9641A6" w14:textId="77777777" w:rsidR="00153C28" w:rsidRPr="00153C28" w:rsidRDefault="00153C28" w:rsidP="00153C28">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153C28">
        <w:rPr>
          <w:rFonts w:ascii="Courier New" w:eastAsia="Times New Roman" w:hAnsi="Courier New" w:cs="Courier New"/>
          <w:color w:val="FEFEFE"/>
          <w:sz w:val="20"/>
          <w:szCs w:val="20"/>
        </w:rPr>
        <w:t xml:space="preserve">$ </w:t>
      </w:r>
      <w:proofErr w:type="spellStart"/>
      <w:r w:rsidRPr="00153C28">
        <w:rPr>
          <w:rFonts w:ascii="Courier New" w:eastAsia="Times New Roman" w:hAnsi="Courier New" w:cs="Courier New"/>
          <w:color w:val="FEFEFE"/>
          <w:sz w:val="20"/>
          <w:szCs w:val="20"/>
        </w:rPr>
        <w:t>cf</w:t>
      </w:r>
      <w:proofErr w:type="spellEnd"/>
      <w:r w:rsidRPr="00153C28">
        <w:rPr>
          <w:rFonts w:ascii="Courier New" w:eastAsia="Times New Roman" w:hAnsi="Courier New" w:cs="Courier New"/>
          <w:color w:val="FEFEFE"/>
          <w:sz w:val="20"/>
          <w:szCs w:val="20"/>
        </w:rPr>
        <w:t xml:space="preserve"> enable-feature-flag </w:t>
      </w:r>
      <w:proofErr w:type="spellStart"/>
      <w:r w:rsidRPr="00153C28">
        <w:rPr>
          <w:rFonts w:ascii="Courier New" w:eastAsia="Times New Roman" w:hAnsi="Courier New" w:cs="Courier New"/>
          <w:color w:val="FEFEFE"/>
          <w:sz w:val="20"/>
          <w:szCs w:val="20"/>
        </w:rPr>
        <w:t>service_instance_sharing</w:t>
      </w:r>
      <w:proofErr w:type="spellEnd"/>
    </w:p>
    <w:p w14:paraId="759ABE12" w14:textId="620D3EF6" w:rsidR="00D85C9C" w:rsidRDefault="00D85C9C" w:rsidP="00D85C9C"/>
    <w:p w14:paraId="34A6D5CE" w14:textId="77777777" w:rsidR="00153C28" w:rsidRDefault="00153C28" w:rsidP="00153C28">
      <w:pPr>
        <w:pStyle w:val="HTMLPreformatted"/>
        <w:shd w:val="clear" w:color="auto" w:fill="3A3A3A"/>
        <w:rPr>
          <w:color w:val="FEFEFE"/>
        </w:rPr>
      </w:pPr>
      <w:r>
        <w:rPr>
          <w:color w:val="FEFEFE"/>
        </w:rPr>
        <w:t xml:space="preserve">$ </w:t>
      </w:r>
      <w:proofErr w:type="spellStart"/>
      <w:r>
        <w:rPr>
          <w:color w:val="FEFEFE"/>
        </w:rPr>
        <w:t>cf</w:t>
      </w:r>
      <w:proofErr w:type="spellEnd"/>
      <w:r>
        <w:rPr>
          <w:color w:val="FEFEFE"/>
        </w:rPr>
        <w:t xml:space="preserve"> share-service SERVICE-INSTANCE -s OTHER-SPACE [-o OTHER-ORG] </w:t>
      </w:r>
    </w:p>
    <w:p w14:paraId="313540A8" w14:textId="77777777" w:rsidR="00153C28" w:rsidRPr="00D85C9C" w:rsidRDefault="00153C28" w:rsidP="00D85C9C">
      <w:pPr>
        <w:rPr>
          <w:rFonts w:hint="eastAsia"/>
        </w:rPr>
      </w:pPr>
    </w:p>
    <w:p w14:paraId="078BB23C" w14:textId="0633B10B" w:rsidR="00321220" w:rsidRDefault="00D85C9C" w:rsidP="000C4D0C">
      <w:hyperlink r:id="rId12" w:history="1">
        <w:r>
          <w:rPr>
            <w:rStyle w:val="Hyperlink"/>
          </w:rPr>
          <w:t>https://jtrack.wdf.sap.corp/browse/CPCORE-1134?jql=text%20~%20%22share-service%22</w:t>
        </w:r>
      </w:hyperlink>
    </w:p>
    <w:p w14:paraId="07C1C727" w14:textId="3B1D4841" w:rsidR="00321220" w:rsidRDefault="00321220" w:rsidP="000C4D0C">
      <w:r>
        <w:rPr>
          <w:noProof/>
        </w:rPr>
        <w:drawing>
          <wp:inline distT="0" distB="0" distL="0" distR="0" wp14:anchorId="6D69C452" wp14:editId="254E616E">
            <wp:extent cx="5943600" cy="3735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35705"/>
                    </a:xfrm>
                    <a:prstGeom prst="rect">
                      <a:avLst/>
                    </a:prstGeom>
                  </pic:spPr>
                </pic:pic>
              </a:graphicData>
            </a:graphic>
          </wp:inline>
        </w:drawing>
      </w:r>
    </w:p>
    <w:p w14:paraId="362599B2" w14:textId="3BB87585" w:rsidR="009C37F2" w:rsidRDefault="009C37F2" w:rsidP="009C37F2">
      <w:pPr>
        <w:pStyle w:val="Heading1"/>
      </w:pPr>
      <w:r>
        <w:t>References</w:t>
      </w:r>
    </w:p>
    <w:p w14:paraId="2E815392" w14:textId="54C3DB9F" w:rsidR="009C37F2" w:rsidRPr="009C37F2" w:rsidRDefault="009C37F2" w:rsidP="009C37F2">
      <w:hyperlink r:id="rId14" w:history="1">
        <w:r>
          <w:rPr>
            <w:rStyle w:val="Hyperlink"/>
          </w:rPr>
          <w:t>https://cloudacademy.com/blog/cloud-foundry-benefits/</w:t>
        </w:r>
      </w:hyperlink>
    </w:p>
    <w:p w14:paraId="71032A0B" w14:textId="77777777" w:rsidR="00331C72" w:rsidRDefault="00331C72" w:rsidP="00E87349"/>
    <w:p w14:paraId="77FF234D" w14:textId="77777777" w:rsidR="00331C72" w:rsidRPr="00E87349" w:rsidRDefault="00331C72" w:rsidP="00E87349"/>
    <w:sectPr w:rsidR="00331C72" w:rsidRPr="00E873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D5E3B" w14:textId="77777777" w:rsidR="00FD109A" w:rsidRDefault="00FD109A" w:rsidP="00115568">
      <w:pPr>
        <w:spacing w:after="0" w:line="240" w:lineRule="auto"/>
      </w:pPr>
      <w:r>
        <w:separator/>
      </w:r>
    </w:p>
  </w:endnote>
  <w:endnote w:type="continuationSeparator" w:id="0">
    <w:p w14:paraId="086C3B61" w14:textId="77777777" w:rsidR="00FD109A" w:rsidRDefault="00FD109A" w:rsidP="0011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AF3C2" w14:textId="77777777" w:rsidR="00FD109A" w:rsidRDefault="00FD109A" w:rsidP="00115568">
      <w:pPr>
        <w:spacing w:after="0" w:line="240" w:lineRule="auto"/>
      </w:pPr>
      <w:r>
        <w:separator/>
      </w:r>
    </w:p>
  </w:footnote>
  <w:footnote w:type="continuationSeparator" w:id="0">
    <w:p w14:paraId="798B05DE" w14:textId="77777777" w:rsidR="00FD109A" w:rsidRDefault="00FD109A" w:rsidP="00115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9A6"/>
    <w:multiLevelType w:val="hybridMultilevel"/>
    <w:tmpl w:val="4AE4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A2C63"/>
    <w:multiLevelType w:val="hybridMultilevel"/>
    <w:tmpl w:val="195E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E8"/>
    <w:rsid w:val="000C4D0C"/>
    <w:rsid w:val="00115568"/>
    <w:rsid w:val="00141686"/>
    <w:rsid w:val="00153C28"/>
    <w:rsid w:val="0018583B"/>
    <w:rsid w:val="0022435B"/>
    <w:rsid w:val="002C3EC6"/>
    <w:rsid w:val="00321220"/>
    <w:rsid w:val="00325078"/>
    <w:rsid w:val="00331C72"/>
    <w:rsid w:val="00333406"/>
    <w:rsid w:val="004831E8"/>
    <w:rsid w:val="006A4E9C"/>
    <w:rsid w:val="0075794C"/>
    <w:rsid w:val="00775AC1"/>
    <w:rsid w:val="009C37F2"/>
    <w:rsid w:val="00B16C99"/>
    <w:rsid w:val="00BB645E"/>
    <w:rsid w:val="00D85C9C"/>
    <w:rsid w:val="00D863EF"/>
    <w:rsid w:val="00E87349"/>
    <w:rsid w:val="00EB485C"/>
    <w:rsid w:val="00FB4579"/>
    <w:rsid w:val="00FD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26270"/>
  <w15:chartTrackingRefBased/>
  <w15:docId w15:val="{D96DBA77-C5DE-4ED7-BFB2-4CBE0826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6C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3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1C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37F2"/>
    <w:pPr>
      <w:ind w:left="720"/>
      <w:contextualSpacing/>
    </w:pPr>
  </w:style>
  <w:style w:type="character" w:styleId="Hyperlink">
    <w:name w:val="Hyperlink"/>
    <w:basedOn w:val="DefaultParagraphFont"/>
    <w:uiPriority w:val="99"/>
    <w:semiHidden/>
    <w:unhideWhenUsed/>
    <w:rsid w:val="009C37F2"/>
    <w:rPr>
      <w:color w:val="0000FF"/>
      <w:u w:val="single"/>
    </w:rPr>
  </w:style>
  <w:style w:type="character" w:customStyle="1" w:styleId="Heading3Char">
    <w:name w:val="Heading 3 Char"/>
    <w:basedOn w:val="DefaultParagraphFont"/>
    <w:link w:val="Heading3"/>
    <w:uiPriority w:val="9"/>
    <w:rsid w:val="00B16C9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53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C28"/>
    <w:rPr>
      <w:rFonts w:ascii="Courier New" w:eastAsia="Times New Roman" w:hAnsi="Courier New" w:cs="Courier New"/>
      <w:sz w:val="20"/>
      <w:szCs w:val="20"/>
    </w:rPr>
  </w:style>
  <w:style w:type="table" w:styleId="TableGrid">
    <w:name w:val="Table Grid"/>
    <w:basedOn w:val="TableNormal"/>
    <w:uiPriority w:val="39"/>
    <w:rsid w:val="00BB6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B645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1182">
      <w:bodyDiv w:val="1"/>
      <w:marLeft w:val="0"/>
      <w:marRight w:val="0"/>
      <w:marTop w:val="0"/>
      <w:marBottom w:val="0"/>
      <w:divBdr>
        <w:top w:val="none" w:sz="0" w:space="0" w:color="auto"/>
        <w:left w:val="none" w:sz="0" w:space="0" w:color="auto"/>
        <w:bottom w:val="none" w:sz="0" w:space="0" w:color="auto"/>
        <w:right w:val="none" w:sz="0" w:space="0" w:color="auto"/>
      </w:divBdr>
    </w:div>
    <w:div w:id="98843071">
      <w:bodyDiv w:val="1"/>
      <w:marLeft w:val="0"/>
      <w:marRight w:val="0"/>
      <w:marTop w:val="0"/>
      <w:marBottom w:val="0"/>
      <w:divBdr>
        <w:top w:val="none" w:sz="0" w:space="0" w:color="auto"/>
        <w:left w:val="none" w:sz="0" w:space="0" w:color="auto"/>
        <w:bottom w:val="none" w:sz="0" w:space="0" w:color="auto"/>
        <w:right w:val="none" w:sz="0" w:space="0" w:color="auto"/>
      </w:divBdr>
    </w:div>
    <w:div w:id="109014046">
      <w:bodyDiv w:val="1"/>
      <w:marLeft w:val="0"/>
      <w:marRight w:val="0"/>
      <w:marTop w:val="0"/>
      <w:marBottom w:val="0"/>
      <w:divBdr>
        <w:top w:val="none" w:sz="0" w:space="0" w:color="auto"/>
        <w:left w:val="none" w:sz="0" w:space="0" w:color="auto"/>
        <w:bottom w:val="none" w:sz="0" w:space="0" w:color="auto"/>
        <w:right w:val="none" w:sz="0" w:space="0" w:color="auto"/>
      </w:divBdr>
    </w:div>
    <w:div w:id="685643511">
      <w:bodyDiv w:val="1"/>
      <w:marLeft w:val="0"/>
      <w:marRight w:val="0"/>
      <w:marTop w:val="0"/>
      <w:marBottom w:val="0"/>
      <w:divBdr>
        <w:top w:val="none" w:sz="0" w:space="0" w:color="auto"/>
        <w:left w:val="none" w:sz="0" w:space="0" w:color="auto"/>
        <w:bottom w:val="none" w:sz="0" w:space="0" w:color="auto"/>
        <w:right w:val="none" w:sz="0" w:space="0" w:color="auto"/>
      </w:divBdr>
    </w:div>
    <w:div w:id="697238751">
      <w:bodyDiv w:val="1"/>
      <w:marLeft w:val="0"/>
      <w:marRight w:val="0"/>
      <w:marTop w:val="0"/>
      <w:marBottom w:val="0"/>
      <w:divBdr>
        <w:top w:val="none" w:sz="0" w:space="0" w:color="auto"/>
        <w:left w:val="none" w:sz="0" w:space="0" w:color="auto"/>
        <w:bottom w:val="none" w:sz="0" w:space="0" w:color="auto"/>
        <w:right w:val="none" w:sz="0" w:space="0" w:color="auto"/>
      </w:divBdr>
    </w:div>
    <w:div w:id="798038147">
      <w:bodyDiv w:val="1"/>
      <w:marLeft w:val="0"/>
      <w:marRight w:val="0"/>
      <w:marTop w:val="0"/>
      <w:marBottom w:val="0"/>
      <w:divBdr>
        <w:top w:val="none" w:sz="0" w:space="0" w:color="auto"/>
        <w:left w:val="none" w:sz="0" w:space="0" w:color="auto"/>
        <w:bottom w:val="none" w:sz="0" w:space="0" w:color="auto"/>
        <w:right w:val="none" w:sz="0" w:space="0" w:color="auto"/>
      </w:divBdr>
    </w:div>
    <w:div w:id="943077269">
      <w:bodyDiv w:val="1"/>
      <w:marLeft w:val="0"/>
      <w:marRight w:val="0"/>
      <w:marTop w:val="0"/>
      <w:marBottom w:val="0"/>
      <w:divBdr>
        <w:top w:val="none" w:sz="0" w:space="0" w:color="auto"/>
        <w:left w:val="none" w:sz="0" w:space="0" w:color="auto"/>
        <w:bottom w:val="none" w:sz="0" w:space="0" w:color="auto"/>
        <w:right w:val="none" w:sz="0" w:space="0" w:color="auto"/>
      </w:divBdr>
    </w:div>
    <w:div w:id="1779374654">
      <w:bodyDiv w:val="1"/>
      <w:marLeft w:val="0"/>
      <w:marRight w:val="0"/>
      <w:marTop w:val="0"/>
      <w:marBottom w:val="0"/>
      <w:divBdr>
        <w:top w:val="none" w:sz="0" w:space="0" w:color="auto"/>
        <w:left w:val="none" w:sz="0" w:space="0" w:color="auto"/>
        <w:bottom w:val="none" w:sz="0" w:space="0" w:color="auto"/>
        <w:right w:val="none" w:sz="0" w:space="0" w:color="auto"/>
      </w:divBdr>
    </w:div>
    <w:div w:id="208459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track.wdf.sap.corp/browse/CPCORE-1134?jql=text%20~%20%22share-service%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academy.com/blog/cloud-foundry-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6</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Daisy</dc:creator>
  <cp:keywords/>
  <dc:description/>
  <cp:lastModifiedBy>Zhang, Daisy</cp:lastModifiedBy>
  <cp:revision>4</cp:revision>
  <dcterms:created xsi:type="dcterms:W3CDTF">2019-07-23T02:30:00Z</dcterms:created>
  <dcterms:modified xsi:type="dcterms:W3CDTF">2019-07-29T12:28:00Z</dcterms:modified>
</cp:coreProperties>
</file>