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805238" cx="5457825"/>
            <wp:effectExtent t="0" b="0" r="0" l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05238" cx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product has no connection to order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what is the connection of employee and order?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is employee supposed to be a subclass of account?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does the account have subclasses like master account, employee, client, etc.?  since the employee has an account as well with other purposes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please add a short description of the ERD to make it more understandable.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product -&gt; forRent &lt;- orderLine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^forRent should be in the middle of product and orderLine forRent has it’s own rentID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orderline inherits rentID rather than productID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^It’s because you should not make weak entities if it does not connect to more than 1 entity and it seems to make more sense to show that the rent is connected to the order rather than a stand alone entity.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color w:val="ff0000"/>
          <w:rtl w:val="0"/>
        </w:rPr>
        <w:t xml:space="preserve">Technical stuff (just for formality):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Please </w:t>
      </w:r>
      <w:r w:rsidRPr="00000000" w:rsidR="00000000" w:rsidDel="00000000">
        <w:rPr>
          <w:color w:val="ff0000"/>
          <w:rtl w:val="0"/>
        </w:rPr>
        <w:t xml:space="preserve">name the relations for most of the classes.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Cardinalities in Relationships.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ff0000"/>
          <w:rtl w:val="0"/>
        </w:rPr>
        <w:t xml:space="preserve">Indicate primary keys, please :)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