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308600" cx="5943600"/>
            <wp:effectExtent t="0" b="0" r="0" l="0"/>
            <wp:docPr id="1" name="image01.jpg" descr="crossover-2.jpeg"/>
            <a:graphic>
              <a:graphicData uri="http://schemas.openxmlformats.org/drawingml/2006/picture">
                <pic:pic>
                  <pic:nvPicPr>
                    <pic:cNvPr id="0" name="image01.jpg" descr="crossover-2.jpe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30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note: please add a short description of the ERD so that we could understand what it means.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each employee has 0-1 account. but what about the clients?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Isn’t employee supposed to be a subclass of account along with master acc and client acc?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employee and master account manages transactions while client accounts can 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What is the difference of rental and order + orderline? doesn’t it have the same meaning? other than quantity.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apparently there is supposed to be a forSale which was clarified by the analysts. My idea is that you separate orderline into 2 different classes for for Rent and for Sale since rental seems to be the same as order+orderline.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order &gt; forRent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order &gt; forSale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forRent &gt; product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forSale &gt; Product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transaction&gt;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forSale contains quantity and unit price. total price can be taken from queries.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forRent contains date returned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order will become a superclass and forRent and forSale become a subclass since they both are a type of 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V2 REVIEW.docx</dc:title>
</cp:coreProperties>
</file>