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-relevant-data"/>
    <w:p>
      <w:pPr>
        <w:pStyle w:val="Heading2"/>
      </w:pPr>
      <w:r>
        <w:t xml:space="preserve">Select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 F         p p&lt;.05   ges</w:t>
      </w:r>
      <w:r>
        <w:br/>
      </w:r>
      <w:r>
        <w:rPr>
          <w:rStyle w:val="VerbatimChar"/>
        </w:rPr>
        <w:t xml:space="preserve">## 1             subfield_groups   3 310  2.230 0.0850000       0.021</w:t>
      </w:r>
      <w:r>
        <w:br/>
      </w:r>
      <w:r>
        <w:rPr>
          <w:rStyle w:val="VerbatimChar"/>
        </w:rPr>
        <w:t xml:space="preserve">## 2                 time_period   2 310 11.295 0.0000184     * 0.068</w:t>
      </w:r>
      <w:r>
        <w:br/>
      </w:r>
      <w:r>
        <w:rPr>
          <w:rStyle w:val="VerbatimChar"/>
        </w:rPr>
        <w:t xml:space="preserve">## 3 subfield_groups:time_period   6 310  1.566 0.1570000       0.029</w:t>
      </w:r>
    </w:p>
    <w:p>
      <w:pPr>
        <w:pStyle w:val="FirstParagraph"/>
      </w:pPr>
      <w:r>
        <w:t xml:space="preserve">Our two-way between-subjects ANOVA generated a significant main effect of time period, F(2, 310) = 11.295, p = 0.0000184, ges = 0.068. However, the main effect of subfield, F(3, 310) = 2.23, p = 0.085, ges = 0.021, and the interaction between subfield and time period, F(6, 310) = 1.566, ges = 0.029,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 F      ges     Pr(&gt;F)</w:t>
      </w:r>
      <w:r>
        <w:br/>
      </w:r>
      <w:r>
        <w:rPr>
          <w:rStyle w:val="VerbatimChar"/>
        </w:rPr>
        <w:t xml:space="preserve">## time_period                      2    310 41.512 11.2946 0.067919 0.00001842</w:t>
      </w:r>
      <w:r>
        <w:br/>
      </w:r>
      <w:r>
        <w:rPr>
          <w:rStyle w:val="VerbatimChar"/>
        </w:rPr>
        <w:t xml:space="preserve">## subfield_groups                  3    310 41.512  2.2299 0.021123    0.08471</w:t>
      </w:r>
      <w:r>
        <w:br/>
      </w:r>
      <w:r>
        <w:rPr>
          <w:rStyle w:val="VerbatimChar"/>
        </w:rPr>
        <w:t xml:space="preserve">## time_period:subfield_groups      6    310 41.512  1.5659 0.029417    0.15660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time_period                 ***</w:t>
      </w:r>
      <w:r>
        <w:br/>
      </w:r>
      <w:r>
        <w:rPr>
          <w:rStyle w:val="VerbatimChar"/>
        </w:rPr>
        <w:t xml:space="preserve">## subfield_groups             .  </w:t>
      </w:r>
      <w:r>
        <w:br/>
      </w:r>
      <w:r>
        <w:rPr>
          <w:rStyle w:val="VerbatimChar"/>
        </w:rPr>
        <w:t xml:space="preserve">## time_period:subfield_groups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11.29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.085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.157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310</m:t>
        </m:r>
        <m:r>
          <m:t>)</m:t>
        </m:r>
        <m:r>
          <m:t>=</m:t>
        </m:r>
        <m:r>
          <m:t>11.29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.068</m:t>
        </m:r>
      </m:oMath>
      <w:r>
        <w:t xml:space="preserve">. However, the main effect of subfield,</w:t>
      </w:r>
      <w:r>
        <w:t xml:space="preserve"> </w:t>
      </w:r>
      <m:oMath>
        <m:r>
          <m:t>F</m:t>
        </m:r>
        <m:r>
          <m:t>(</m:t>
        </m:r>
        <m:r>
          <m:t>3</m:t>
        </m:r>
        <m:r>
          <m:t>,</m:t>
        </m:r>
        <m:r>
          <m:t>310</m:t>
        </m:r>
        <m:r>
          <m:t>)</m:t>
        </m:r>
        <m: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.085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.021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t>(</m:t>
        </m:r>
        <m:r>
          <m:t>6</m:t>
        </m:r>
        <m:r>
          <m:t>,</m:t>
        </m:r>
        <m:r>
          <m:t>310</m:t>
        </m:r>
        <m:r>
          <m:t>)</m:t>
        </m:r>
        <m:r>
          <m:t>=</m:t>
        </m:r>
        <m:r>
          <m:t>1.57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.157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.029</m:t>
        </m:r>
      </m:oMath>
      <w:r>
        <w:t xml:space="preserve">, were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3 310 4.033 0.008     * 0.038</w:t>
      </w:r>
      <w:r>
        <w:br/>
      </w:r>
      <w:r>
        <w:rPr>
          <w:rStyle w:val="VerbatimChar"/>
        </w:rPr>
        <w:t xml:space="preserve">## 2                 time_period   2 310 4.737 0.009     * 0.030</w:t>
      </w:r>
      <w:r>
        <w:br/>
      </w:r>
      <w:r>
        <w:rPr>
          <w:rStyle w:val="VerbatimChar"/>
        </w:rPr>
        <w:t xml:space="preserve">## 3 subfield_groups:time_period   6 310 0.853 0.530       0.016</w:t>
      </w:r>
    </w:p>
    <w:p>
      <w:pPr>
        <w:pStyle w:val="FirstParagraph"/>
      </w:pPr>
      <w:r>
        <w:t xml:space="preserve">Our two-way between-subjects ANOVA generated a significant main effect of subfield, F(3, 310) = 4.033, p = 0.008, ges = 0.038, and a significant main effect of time period, F(2, 310) = 4.737, p = 0.009, ges = 0.03. However, the interaction between subfield and time period, F(6, 310) = 0.853, ges = 0.016,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 Pr(&gt;F)   </w:t>
      </w:r>
      <w:r>
        <w:br/>
      </w:r>
      <w:r>
        <w:rPr>
          <w:rStyle w:val="VerbatimChar"/>
        </w:rPr>
        <w:t xml:space="preserve">## time_period                      2    310 32.158 4.7375 0.029658 0.009405 **</w:t>
      </w:r>
      <w:r>
        <w:br/>
      </w:r>
      <w:r>
        <w:rPr>
          <w:rStyle w:val="VerbatimChar"/>
        </w:rPr>
        <w:t xml:space="preserve">## subfield_groups                  3    310 32.158 4.0326 0.037559 0.007781 **</w:t>
      </w:r>
      <w:r>
        <w:br/>
      </w:r>
      <w:r>
        <w:rPr>
          <w:rStyle w:val="VerbatimChar"/>
        </w:rPr>
        <w:t xml:space="preserve">## time_period:subfield_groups      6    310 32.158 0.8526 0.016235 0.530212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  <w:tc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.530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t>(</m:t>
        </m:r>
        <m:r>
          <m:t>3</m:t>
        </m:r>
        <m:r>
          <m:t>,</m:t>
        </m:r>
        <m:r>
          <m:t>310</m:t>
        </m:r>
        <m:r>
          <m:t>)</m:t>
        </m:r>
        <m:r>
          <m:t>=</m:t>
        </m:r>
        <m:r>
          <m:t>4.03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.038</m:t>
        </m:r>
      </m:oMath>
      <w:r>
        <w:t xml:space="preserve">, and a significant main effect of time period,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310</m:t>
        </m:r>
        <m:r>
          <m:t>)</m:t>
        </m:r>
        <m:r>
          <m:t>=</m:t>
        </m:r>
        <m:r>
          <m:t>4.74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.030</m:t>
        </m:r>
      </m:oMath>
      <w:r>
        <w:t xml:space="preserve">. However the interaction between time period and subfield,</w:t>
      </w:r>
      <w:r>
        <w:t xml:space="preserve"> </w:t>
      </w:r>
      <m:oMath>
        <m:r>
          <m:t>F</m:t>
        </m:r>
        <m:r>
          <m:t>(</m:t>
        </m:r>
        <m:r>
          <m:t>6</m:t>
        </m:r>
        <m:r>
          <m:t>,</m:t>
        </m:r>
        <m:r>
          <m:t>310</m:t>
        </m:r>
        <m:r>
          <m:t>)</m:t>
        </m:r>
        <m:r>
          <m:t>=</m:t>
        </m:r>
        <m:r>
          <m:t>0.85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.530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.016</m:t>
        </m:r>
      </m:oMath>
      <w:r>
        <w:t xml:space="preserve">, was not statistically significant.</w:t>
      </w:r>
    </w:p>
    <w:bookmarkEnd w:id="27"/>
    <w:bookmarkStart w:id="45" w:name="plots"/>
    <w:p>
      <w:pPr>
        <w:pStyle w:val="Heading1"/>
      </w:pPr>
      <w:r>
        <w:t xml:space="preserve">PLOTS</w:t>
      </w:r>
    </w:p>
    <w:bookmarkStart w:id="33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time_period   mean_data_score    SD     N stderr</w:t>
      </w:r>
      <w:r>
        <w:br/>
      </w:r>
      <w:r>
        <w:rPr>
          <w:rStyle w:val="VerbatimChar"/>
        </w:rPr>
        <w:t xml:space="preserve">##   &lt;fct&gt;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2.14  5.24   183  0.388</w:t>
      </w:r>
      <w:r>
        <w:br/>
      </w:r>
      <w:r>
        <w:rPr>
          <w:rStyle w:val="VerbatimChar"/>
        </w:rPr>
        <w:t xml:space="preserve">## 2 2nd half 2014            4.90  7.47    72  0.880</w:t>
      </w:r>
      <w:r>
        <w:br/>
      </w:r>
      <w:r>
        <w:rPr>
          <w:rStyle w:val="VerbatimChar"/>
        </w:rPr>
        <w:t xml:space="preserve">## 3 1st half 2015            6.06  8.32    67  1.02</w:t>
      </w:r>
    </w:p>
    <w:bookmarkEnd w:id="29"/>
    <w:bookmarkStart w:id="32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materials"/>
    <w:p>
      <w:pPr>
        <w:pStyle w:val="Heading2"/>
      </w:pPr>
      <w:r>
        <w:t xml:space="preserve">MATERIALS</w:t>
      </w:r>
    </w:p>
    <w:bookmarkStart w:id="34" w:name="subfield-x-materials-score"/>
    <w:p>
      <w:pPr>
        <w:pStyle w:val="Heading3"/>
      </w:pPr>
      <w:r>
        <w:t xml:space="preserve">Subfield x Materials Score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subfield_groups mean_materials_score    SD     N stderr</w:t>
      </w:r>
      <w:r>
        <w:br/>
      </w:r>
      <w:r>
        <w:rPr>
          <w:rStyle w:val="VerbatimChar"/>
        </w:rPr>
        <w:t xml:space="preserve">##   &lt;fct&gt;     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     4.59  7.07    91  0.742</w:t>
      </w:r>
      <w:r>
        <w:br/>
      </w:r>
      <w:r>
        <w:rPr>
          <w:rStyle w:val="VerbatimChar"/>
        </w:rPr>
        <w:t xml:space="preserve">## 2 Development                     1.82  6.02    65  0.746</w:t>
      </w:r>
      <w:r>
        <w:br/>
      </w:r>
      <w:r>
        <w:rPr>
          <w:rStyle w:val="VerbatimChar"/>
        </w:rPr>
        <w:t xml:space="preserve">## 3 Other                           2.83  5.84    75  0.674</w:t>
      </w:r>
      <w:r>
        <w:br/>
      </w:r>
      <w:r>
        <w:rPr>
          <w:rStyle w:val="VerbatimChar"/>
        </w:rPr>
        <w:t xml:space="preserve">## 4 Social                          4.19  7.34    91  0.770</w:t>
      </w:r>
    </w:p>
    <w:bookmarkEnd w:id="34"/>
    <w:bookmarkStart w:id="35" w:name="time-period-x-materials-score"/>
    <w:p>
      <w:pPr>
        <w:pStyle w:val="Heading3"/>
      </w:pPr>
      <w:r>
        <w:t xml:space="preserve">Time Period x Materials Score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time_period   mean_materials_score    SD     N stderr</w:t>
      </w:r>
      <w:r>
        <w:br/>
      </w:r>
      <w:r>
        <w:rPr>
          <w:rStyle w:val="VerbatimChar"/>
        </w:rPr>
        <w:t xml:space="preserve">##   &lt;fct&gt;     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     2.73  5.04   183  0.373</w:t>
      </w:r>
      <w:r>
        <w:br/>
      </w:r>
      <w:r>
        <w:rPr>
          <w:rStyle w:val="VerbatimChar"/>
        </w:rPr>
        <w:t xml:space="preserve">## 2 2nd half 2014                 4.10  6.51    72  0.767</w:t>
      </w:r>
      <w:r>
        <w:br/>
      </w:r>
      <w:r>
        <w:rPr>
          <w:rStyle w:val="VerbatimChar"/>
        </w:rPr>
        <w:t xml:space="preserve">## 3 1st half 2015                 5     6.62    67  0.809</w:t>
      </w:r>
    </w:p>
    <w:bookmarkEnd w:id="35"/>
    <w:bookmarkStart w:id="38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SUBFIELD T-TESTS</w:t>
      </w:r>
    </w:p>
    <w:bookmarkEnd w:id="38"/>
    <w:bookmarkEnd w:id="39"/>
    <w:bookmarkStart w:id="40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Subfield main effect for Open Data Scores was not significant, so no t-tests to run here</w:t>
      </w:r>
    </w:p>
    <w:bookmarkEnd w:id="40"/>
    <w:bookmarkStart w:id="44" w:name="materials-1"/>
    <w:p>
      <w:pPr>
        <w:pStyle w:val="Heading2"/>
      </w:pPr>
      <w:r>
        <w:t xml:space="preserve">MATERIALS</w:t>
      </w:r>
    </w:p>
    <w:bookmarkStart w:id="41" w:name="developmental-vs.-cognition"/>
    <w:p>
      <w:pPr>
        <w:pStyle w:val="Heading3"/>
      </w:pPr>
      <w:r>
        <w:t xml:space="preserve">Developmental vs. Cognition</w:t>
      </w:r>
    </w:p>
    <w:p>
      <w:pPr>
        <w:pStyle w:val="FirstParagraph"/>
      </w:pPr>
      <w:r>
        <w:t xml:space="preserve">An independent samples t-test showed that articles published in the the field of Cognition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t(153.74) = 3.20, p = .002, d = 0.50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subfield_groups (mean in group Cognition = 4.59, mean in group Development = 1.82) suggests that the effect is negative, statistically significant, and medium (difference = -2.78, 95% CI [1.06, 4.49], t(153.74) = 3.20, p &lt; .01; Cohen's d = 0.52, 95% CI [0.19, 0.84])</w:t>
      </w:r>
    </w:p>
    <w:bookmarkEnd w:id="41"/>
    <w:bookmarkStart w:id="42" w:name="developmental-vs.-social"/>
    <w:p>
      <w:pPr>
        <w:pStyle w:val="Heading3"/>
      </w:pPr>
      <w:r>
        <w:t xml:space="preserve">Developmental vs. Social</w:t>
      </w:r>
    </w:p>
    <w:p>
      <w:pPr>
        <w:pStyle w:val="FirstParagraph"/>
      </w:pPr>
      <w:r>
        <w:t xml:space="preserve">An independent samples t-test showed that articles published in the the field of Social Psychology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t(153.62) = -2.75, p = .007, d = -0.43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subfield_groups (mean in group Development = 1.82, mean in group Social = 4.19) suggests that the effect is positive, statistically significant, and small (difference = 2.37, 95% CI [-4.08, -0.67], t(153.62) = -2.75, p &lt; .01; Cohen's d = -0.44, 95% CI [-0.76, -0.12])</w:t>
      </w:r>
    </w:p>
    <w:bookmarkEnd w:id="42"/>
    <w:bookmarkStart w:id="43" w:name="developmental-vs.-other"/>
    <w:p>
      <w:pPr>
        <w:pStyle w:val="Heading3"/>
      </w:pPr>
      <w:r>
        <w:t xml:space="preserve">Developmental vs. Other</w:t>
      </w:r>
    </w:p>
    <w:p>
      <w:pPr>
        <w:pStyle w:val="FirstParagraph"/>
      </w:pPr>
      <w:r>
        <w:t xml:space="preserve">An independent samples t-test showed that articles published in the the Other subfield did not generate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t(137.95) = -1.19, p = .236, d = -0.20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subfield_groups (mean in group Development = 1.82, mean in group Other = 2.83) suggests that the effect is positive, statistically not significant, and small (difference = 1.01, 95% CI [-2.69, 0.67], t(137.95) = -1.19, p = 0.236; Cohen's d = -0.20, 95% CI [-0.54, 0.13])</w:t>
      </w:r>
    </w:p>
    <w:bookmarkEnd w:id="43"/>
    <w:bookmarkEnd w:id="44"/>
    <w:bookmarkEnd w:id="45"/>
    <w:bookmarkStart w:id="53" w:name="time-t-tests"/>
    <w:p>
      <w:pPr>
        <w:pStyle w:val="Heading1"/>
      </w:pPr>
      <w:r>
        <w:t xml:space="preserve">TIME T-TESTS</w:t>
      </w:r>
    </w:p>
    <w:bookmarkStart w:id="48" w:name="data-2"/>
    <w:p>
      <w:pPr>
        <w:pStyle w:val="Heading2"/>
      </w:pPr>
      <w:r>
        <w:t xml:space="preserve">DATA</w:t>
      </w:r>
    </w:p>
    <w:bookmarkStart w:id="46" w:name="first-half-2014-vs.-second-half-2014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t(99.74) = -2.87, p = .005, d = -0.46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total_data_score by time_period (mean in group 1st half 2014 = 2.14, mean in group 2nd half 2014 = 4.90) suggests that the effect is positive, statistically significant, and medium (difference = 2.76, 95% CI [-4.67, -0.85], t(99.74) = -2.87, p &lt; .01; Cohen's d = -0.57, 95% CI [-0.97, -0.17])</w:t>
      </w:r>
    </w:p>
    <w:bookmarkEnd w:id="46"/>
    <w:bookmarkStart w:id="47" w:name="second-half-2014-vs.-first-half-2015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significantly higher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t(132.74) = -0.86, p = .391, d = -0.15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total_data_score by time_period (mean in group 2nd half 2014 = 4.90, mean in group 1st half 2015 = 6.06) suggests that the effect is positive, statistically not significant, and very small (difference = 1.16, 95% CI [-3.82, 1.50], t(132.74) = -0.86, p = 0.391; Cohen's d = -0.15, 95% CI [-0.49, 0.19])</w:t>
      </w:r>
    </w:p>
    <w:bookmarkEnd w:id="47"/>
    <w:bookmarkEnd w:id="48"/>
    <w:bookmarkStart w:id="52" w:name="materials-2"/>
    <w:p>
      <w:pPr>
        <w:pStyle w:val="Heading2"/>
      </w:pPr>
      <w:r>
        <w:t xml:space="preserve">MATERIALS</w:t>
      </w:r>
    </w:p>
    <w:bookmarkStart w:id="49" w:name="first-half-2014-vs.-second-half-2014-1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did not generate statistically different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t(106.17) = -1.61, p = .111, d = -0.25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time_period (mean in group 1st half 2014 = 2.73, mean in group 2nd half 2014 = 4.10) suggests that the effect is positive, statistically not significant, and small (difference = 1.37, 95% CI [-3.06, 0.32], t(106.17) = -1.61, p = 0.111; Cohen's d = -0.31, 95% CI [-0.69, 0.07])</w:t>
      </w:r>
    </w:p>
    <w:bookmarkEnd w:id="49"/>
    <w:bookmarkStart w:id="50" w:name="second-half-2014-vs.-first-half-2015-1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statistically different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t(135.91) = -0.81, p = .419, d = -0.14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time_period (mean in group 2nd half 2014 = 4.10, mean in group 1st half 2015 = 5.00) suggests that the effect is positive, statistically not significant, and very small (difference = 0.90, 95% CI [-3.11, 1.30], t(135.91) = -0.81, p = 0.419; Cohen's d = -0.14, 95% CI [-0.48, 0.20])</w:t>
      </w:r>
    </w:p>
    <w:bookmarkEnd w:id="50"/>
    <w:bookmarkStart w:id="51" w:name="first-half-2014-vs.-first-half-2015"/>
    <w:p>
      <w:pPr>
        <w:pStyle w:val="Heading3"/>
      </w:pPr>
      <w:r>
        <w:t xml:space="preserve">First half 2014 vs. First half 2015</w:t>
      </w:r>
    </w:p>
    <w:p>
      <w:pPr>
        <w:pStyle w:val="FirstParagraph"/>
      </w:pPr>
      <w:r>
        <w:t xml:space="preserve">An independent samples t-test showed that articles published in the first half of 2015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t(95.44) = -2.55, p = .012, d = -0.41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time_period (mean in group 1st half 2014 = 2.73, mean in group 1st half 2015 = 5.00) suggests that the effect is positive, statistically significant, and medium (difference = 2.27, 95% CI [-4.04, -0.51], t(95.44) = -2.55, p &lt; .05; Cohen's d = -0.52, 95% CI [-0.93, -0.11])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1A Analysis Markdown</dc:title>
  <dc:creator/>
  <cp:keywords/>
  <dcterms:created xsi:type="dcterms:W3CDTF">2021-08-19T01:17:09Z</dcterms:created>
  <dcterms:modified xsi:type="dcterms:W3CDTF">2021-08-19T01:17:09Z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