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Confirmatory</w:t>
      </w:r>
      <w:r>
        <w:t xml:space="preserve"> </w:t>
      </w:r>
      <w:r>
        <w:t xml:space="preserve">1B</w:t>
      </w:r>
      <w:r>
        <w:t xml:space="preserve"> </w:t>
      </w:r>
      <w:r>
        <w:t xml:space="preserve">Analysis</w:t>
      </w:r>
      <w:r>
        <w:t xml:space="preserve"> </w:t>
      </w:r>
      <w:r>
        <w:t xml:space="preserve">Markdown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bookmarkStart w:id="25" w:name="preparation"/>
    <w:p>
      <w:pPr>
        <w:pStyle w:val="Heading1"/>
      </w:pPr>
      <w:r>
        <w:t xml:space="preserve">PREPARATION</w:t>
      </w:r>
    </w:p>
    <w:bookmarkStart w:id="20" w:name="load-packages"/>
    <w:p>
      <w:pPr>
        <w:pStyle w:val="Heading2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(ggeasy)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(apa)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(ez)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(afex)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(papaja)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(jmv)</w:t>
      </w:r>
    </w:p>
    <w:bookmarkEnd w:id="20"/>
    <w:bookmarkStart w:id="21" w:name="read-in-data"/>
    <w:p>
      <w:pPr>
        <w:pStyle w:val="Heading2"/>
      </w:pPr>
      <w:r>
        <w:t xml:space="preserve">Read in data</w:t>
      </w:r>
    </w:p>
    <w:bookmarkEnd w:id="21"/>
    <w:bookmarkStart w:id="22" w:name="first-factor-subfield"/>
    <w:p>
      <w:pPr>
        <w:pStyle w:val="Heading2"/>
      </w:pPr>
      <w:r>
        <w:t xml:space="preserve">First factor: Subfield</w:t>
      </w:r>
    </w:p>
    <w:bookmarkEnd w:id="22"/>
    <w:bookmarkStart w:id="23" w:name="second-factor-time"/>
    <w:p>
      <w:pPr>
        <w:pStyle w:val="Heading2"/>
      </w:pPr>
      <w:r>
        <w:t xml:space="preserve">Second factor: Time</w:t>
      </w:r>
    </w:p>
    <w:bookmarkEnd w:id="23"/>
    <w:bookmarkStart w:id="24" w:name="selecting-only-relevant-data"/>
    <w:p>
      <w:pPr>
        <w:pStyle w:val="Heading2"/>
      </w:pPr>
      <w:r>
        <w:t xml:space="preserve">Selecting only relevant data</w:t>
      </w:r>
    </w:p>
    <w:bookmarkEnd w:id="24"/>
    <w:bookmarkEnd w:id="25"/>
    <w:bookmarkStart w:id="26" w:name="data-anova-analysis"/>
    <w:p>
      <w:pPr>
        <w:pStyle w:val="Heading1"/>
      </w:pPr>
      <w:r>
        <w:t xml:space="preserve">DATA ANOVA Analysis</w:t>
      </w:r>
    </w:p>
    <w:p>
      <w:pPr>
        <w:pStyle w:val="SourceCode"/>
      </w:pPr>
      <w:r>
        <w:rPr>
          <w:rStyle w:val="VerbatimChar"/>
        </w:rPr>
        <w:t xml:space="preserve">## Coefficient covariances computed by hccm()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Effect DFn DFd     F     p p&lt;.05   ges</w:t>
      </w:r>
      <w:r>
        <w:br/>
      </w:r>
      <w:r>
        <w:rPr>
          <w:rStyle w:val="VerbatimChar"/>
        </w:rPr>
        <w:t xml:space="preserve">## 1             subfield_groups   3 181 3.313 0.021     * 0.052</w:t>
      </w:r>
      <w:r>
        <w:br/>
      </w:r>
      <w:r>
        <w:rPr>
          <w:rStyle w:val="VerbatimChar"/>
        </w:rPr>
        <w:t xml:space="preserve">## 2                 time_period   2 181 3.676 0.027     * 0.039</w:t>
      </w:r>
      <w:r>
        <w:br/>
      </w:r>
      <w:r>
        <w:rPr>
          <w:rStyle w:val="VerbatimChar"/>
        </w:rPr>
        <w:t xml:space="preserve">## 3 subfield_groups:time_period   6 181 1.110 0.358       0.035</w:t>
      </w:r>
    </w:p>
    <w:p>
      <w:pPr>
        <w:pStyle w:val="FirstParagraph"/>
      </w:pPr>
      <w:r>
        <w:t xml:space="preserve">Our two-way between-subjects ANOVA generated a significant main effect of subfield, F(3, 181) = 3.313, p = 0.021, ges = 0.052, and time period, F(2, 181) = 3.676, p = 0.027, ges = 0.039. However, the interaction between subfield and time period, F(6, 181) = 1.11, ges = 0.035, was not statistically significant.</w:t>
      </w:r>
    </w:p>
    <w:p>
      <w:pPr>
        <w:pStyle w:val="SourceCode"/>
      </w:pPr>
      <w:r>
        <w:rPr>
          <w:rStyle w:val="VerbatimChar"/>
        </w:rPr>
        <w:t xml:space="preserve">## Contrasts set to contr.sum for the following variables: time_period, subfield_groups</w:t>
      </w:r>
    </w:p>
    <w:p>
      <w:pPr>
        <w:pStyle w:val="SourceCode"/>
      </w:pPr>
      <w:r>
        <w:rPr>
          <w:rStyle w:val="VerbatimChar"/>
        </w:rPr>
        <w:t xml:space="preserve">## Anova Table (Type 2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total_data_score</w:t>
      </w:r>
      <w:r>
        <w:br/>
      </w:r>
      <w:r>
        <w:rPr>
          <w:rStyle w:val="VerbatimChar"/>
        </w:rPr>
        <w:t xml:space="preserve">##                             num Df den Df    MSE      F      ges  Pr(&gt;F)  </w:t>
      </w:r>
      <w:r>
        <w:br/>
      </w:r>
      <w:r>
        <w:rPr>
          <w:rStyle w:val="VerbatimChar"/>
        </w:rPr>
        <w:t xml:space="preserve">## time_period                      2    181 70.923 3.6760 0.039033 0.02723 *</w:t>
      </w:r>
      <w:r>
        <w:br/>
      </w:r>
      <w:r>
        <w:rPr>
          <w:rStyle w:val="VerbatimChar"/>
        </w:rPr>
        <w:t xml:space="preserve">## subfield_groups                  3    181 70.923 3.3127 0.052049 0.02128 *</w:t>
      </w:r>
      <w:r>
        <w:br/>
      </w:r>
      <w:r>
        <w:rPr>
          <w:rStyle w:val="VerbatimChar"/>
        </w:rPr>
        <w:t xml:space="preserve">## time_period:subfield_groups      6    181 70.923 1.1099 0.035488 0.35824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(#tab:unnamed-chunk-7)</w:t>
      </w:r>
    </w:p>
    <w:p>
      <w:pPr>
        <w:pStyle w:val="TableCaption"/>
      </w:pPr>
      <w:r>
        <w:rPr>
          <w:iCs/>
          <w:i/>
        </w:rPr>
        <w:t xml:space="preserve">Between-subjects ANOVA for Open Data Scores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i"/>
                </m:rPr>
                <m:t>M</m:t>
              </m:r>
              <m:r>
                <m:rPr>
                  <m:sty m:val="i"/>
                </m:rPr>
                <m:t>S</m:t>
              </m:r>
              <m:r>
                <m:rPr>
                  <m:sty m:val="i"/>
                </m:rPr>
                <m:t>E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p>
            <w:pPr>
              <w:pStyle w:val="Compact"/>
              <w:jc w:val="left"/>
            </w:pPr>
            <m:oMath>
              <m:sSubSup>
                <m:e>
                  <m:acc>
                    <m:accPr>
                      <m:chr m:val="̂"/>
                    </m:accPr>
                    <m:e>
                      <m:r>
                        <m:t>η</m:t>
                      </m:r>
                    </m:e>
                  </m:acc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p>
            <w:pPr>
              <w:pStyle w:val="Compact"/>
              <w:jc w:val="left"/>
            </w:pPr>
            <w:r>
              <w:t xml:space="preserve">3.68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181</w:t>
            </w:r>
          </w:p>
        </w:tc>
        <w:tc>
          <w:p>
            <w:pPr>
              <w:pStyle w:val="Compact"/>
              <w:jc w:val="left"/>
            </w:pPr>
            <w:r>
              <w:t xml:space="preserve">70.92</w:t>
            </w:r>
          </w:p>
        </w:tc>
        <w:tc>
          <w:p>
            <w:pPr>
              <w:pStyle w:val="Compact"/>
              <w:jc w:val="left"/>
            </w:pPr>
            <w:r>
              <w:t xml:space="preserve">.027</w:t>
            </w:r>
          </w:p>
        </w:tc>
        <w:tc>
          <w:p>
            <w:pPr>
              <w:pStyle w:val="Compact"/>
              <w:jc w:val="left"/>
            </w:pPr>
            <w:r>
              <w:t xml:space="preserve">.039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Subfield groups</w:t>
            </w:r>
          </w:p>
        </w:tc>
        <w:tc>
          <w:p>
            <w:pPr>
              <w:pStyle w:val="Compact"/>
              <w:jc w:val="left"/>
            </w:pPr>
            <w:r>
              <w:t xml:space="preserve">3.31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181</w:t>
            </w:r>
          </w:p>
        </w:tc>
        <w:tc>
          <w:p>
            <w:pPr>
              <w:pStyle w:val="Compact"/>
              <w:jc w:val="left"/>
            </w:pPr>
            <w:r>
              <w:t xml:space="preserve">70.92</w:t>
            </w:r>
          </w:p>
        </w:tc>
        <w:tc>
          <w:p>
            <w:pPr>
              <w:pStyle w:val="Compact"/>
              <w:jc w:val="left"/>
            </w:pPr>
            <w:r>
              <w:t xml:space="preserve">.021</w:t>
            </w:r>
          </w:p>
        </w:tc>
        <w:tc>
          <w:p>
            <w:pPr>
              <w:pStyle w:val="Compact"/>
              <w:jc w:val="left"/>
            </w:pPr>
            <w:r>
              <w:t xml:space="preserve">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 period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Subfield groups</w:t>
            </w:r>
          </w:p>
        </w:tc>
        <w:tc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181</w:t>
            </w:r>
          </w:p>
        </w:tc>
        <w:tc>
          <w:p>
            <w:pPr>
              <w:pStyle w:val="Compact"/>
              <w:jc w:val="left"/>
            </w:pPr>
            <w:r>
              <w:t xml:space="preserve">70.92</w:t>
            </w:r>
          </w:p>
        </w:tc>
        <w:tc>
          <w:p>
            <w:pPr>
              <w:pStyle w:val="Compact"/>
              <w:jc w:val="left"/>
            </w:pPr>
            <w:r>
              <w:t xml:space="preserve">.358</w:t>
            </w:r>
          </w:p>
        </w:tc>
        <w:tc>
          <w:p>
            <w:pPr>
              <w:pStyle w:val="Compact"/>
              <w:jc w:val="left"/>
            </w:pPr>
            <w:r>
              <w:t xml:space="preserve">.035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This table was created with apa_table().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Our two-way between-subjects ANOVA generated a significant main effect of time period,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181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3.68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70.92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.027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.039</m:t>
        </m:r>
      </m:oMath>
      <w:r>
        <w:t xml:space="preserve">, and a significant main effect of subfield,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181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3.31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70.92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.021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.052</m:t>
        </m:r>
      </m:oMath>
      <w:r>
        <w:t xml:space="preserve">. However, the interaction between time period and subfield,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6</m:t>
        </m:r>
        <m:r>
          <m:rPr>
            <m:sty m:val="p"/>
          </m:rPr>
          <m:t>,</m:t>
        </m:r>
        <m:r>
          <m:t>181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1.11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70.92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.358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.035</m:t>
        </m:r>
      </m:oMath>
      <w:r>
        <w:t xml:space="preserve">, was not statistically significant.</w:t>
      </w:r>
    </w:p>
    <w:bookmarkEnd w:id="26"/>
    <w:bookmarkStart w:id="27" w:name="materials-anova-analysis"/>
    <w:p>
      <w:pPr>
        <w:pStyle w:val="Heading1"/>
      </w:pPr>
      <w:r>
        <w:t xml:space="preserve">MATERIALS ANOVA Analysis</w:t>
      </w:r>
    </w:p>
    <w:p>
      <w:pPr>
        <w:pStyle w:val="SourceCode"/>
      </w:pPr>
      <w:r>
        <w:rPr>
          <w:rStyle w:val="VerbatimChar"/>
        </w:rPr>
        <w:t xml:space="preserve">## Coefficient covariances computed by hccm()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Effect DFn DFd     F     p p&lt;.05   ges</w:t>
      </w:r>
      <w:r>
        <w:br/>
      </w:r>
      <w:r>
        <w:rPr>
          <w:rStyle w:val="VerbatimChar"/>
        </w:rPr>
        <w:t xml:space="preserve">## 1             subfield_groups   3 181 5.236 0.002     * 0.080</w:t>
      </w:r>
      <w:r>
        <w:br/>
      </w:r>
      <w:r>
        <w:rPr>
          <w:rStyle w:val="VerbatimChar"/>
        </w:rPr>
        <w:t xml:space="preserve">## 2                 time_period   2 181 0.366 0.694       0.004</w:t>
      </w:r>
      <w:r>
        <w:br/>
      </w:r>
      <w:r>
        <w:rPr>
          <w:rStyle w:val="VerbatimChar"/>
        </w:rPr>
        <w:t xml:space="preserve">## 3 subfield_groups:time_period   6 181 0.481 0.822       0.016</w:t>
      </w:r>
    </w:p>
    <w:p>
      <w:pPr>
        <w:pStyle w:val="FirstParagraph"/>
      </w:pPr>
      <w:r>
        <w:t xml:space="preserve">Our two-way between-subjects ANOVA generated a significant main effect of subfield, F(3, 181) = 5.236, p = 0.002, ges = 0.08. However, the main effect of time period, F(2, 181) = 0.366, p = 0.694, ges = 0.004, and the interaction between subfield and time period, F(6, 181) = 0.481, ges = 0.016, were not statistically significant.</w:t>
      </w:r>
    </w:p>
    <w:p>
      <w:pPr>
        <w:pStyle w:val="SourceCode"/>
      </w:pPr>
      <w:r>
        <w:rPr>
          <w:rStyle w:val="VerbatimChar"/>
        </w:rPr>
        <w:t xml:space="preserve">## Contrasts set to contr.sum for the following variables: time_period, subfield_groups</w:t>
      </w:r>
    </w:p>
    <w:p>
      <w:pPr>
        <w:pStyle w:val="SourceCode"/>
      </w:pPr>
      <w:r>
        <w:rPr>
          <w:rStyle w:val="VerbatimChar"/>
        </w:rPr>
        <w:t xml:space="preserve">## Anova Table (Type 2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total_materials_score</w:t>
      </w:r>
      <w:r>
        <w:br/>
      </w:r>
      <w:r>
        <w:rPr>
          <w:rStyle w:val="VerbatimChar"/>
        </w:rPr>
        <w:t xml:space="preserve">##                             num Df den Df    MSE      F      ges  Pr(&gt;F)   </w:t>
      </w:r>
      <w:r>
        <w:br/>
      </w:r>
      <w:r>
        <w:rPr>
          <w:rStyle w:val="VerbatimChar"/>
        </w:rPr>
        <w:t xml:space="preserve">## time_period                      2    181 53.872 0.3657 0.004025 0.69419   </w:t>
      </w:r>
      <w:r>
        <w:br/>
      </w:r>
      <w:r>
        <w:rPr>
          <w:rStyle w:val="VerbatimChar"/>
        </w:rPr>
        <w:t xml:space="preserve">## subfield_groups                  3    181 53.872 5.2357 0.079851 0.00173 **</w:t>
      </w:r>
      <w:r>
        <w:br/>
      </w:r>
      <w:r>
        <w:rPr>
          <w:rStyle w:val="VerbatimChar"/>
        </w:rPr>
        <w:t xml:space="preserve">## time_period:subfield_groups      6    181 53.872 0.4813 0.015704 0.82171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(#tab:unnamed-chunk-9)</w:t>
      </w:r>
    </w:p>
    <w:p>
      <w:pPr>
        <w:pStyle w:val="TableCaption"/>
      </w:pPr>
      <w:r>
        <w:rPr>
          <w:iCs/>
          <w:i/>
        </w:rPr>
        <w:t xml:space="preserve">Between-subjects ANOVA for Open Materials Scores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i"/>
                </m:rPr>
                <m:t>M</m:t>
              </m:r>
              <m:r>
                <m:rPr>
                  <m:sty m:val="i"/>
                </m:rPr>
                <m:t>S</m:t>
              </m:r>
              <m:r>
                <m:rPr>
                  <m:sty m:val="i"/>
                </m:rPr>
                <m:t>E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p>
            <w:pPr>
              <w:pStyle w:val="Compact"/>
              <w:jc w:val="left"/>
            </w:pPr>
            <m:oMath>
              <m:sSubSup>
                <m:e>
                  <m:acc>
                    <m:accPr>
                      <m:chr m:val="̂"/>
                    </m:accPr>
                    <m:e>
                      <m:r>
                        <m:t>η</m:t>
                      </m:r>
                    </m:e>
                  </m:acc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181</w:t>
            </w:r>
          </w:p>
        </w:tc>
        <w:tc>
          <w:p>
            <w:pPr>
              <w:pStyle w:val="Compact"/>
              <w:jc w:val="left"/>
            </w:pPr>
            <w:r>
              <w:t xml:space="preserve">53.87</w:t>
            </w:r>
          </w:p>
        </w:tc>
        <w:tc>
          <w:p>
            <w:pPr>
              <w:pStyle w:val="Compact"/>
              <w:jc w:val="left"/>
            </w:pPr>
            <w:r>
              <w:t xml:space="preserve">.694</w:t>
            </w:r>
          </w:p>
        </w:tc>
        <w:tc>
          <w:p>
            <w:pPr>
              <w:pStyle w:val="Compact"/>
              <w:jc w:val="left"/>
            </w:pPr>
            <w:r>
              <w:t xml:space="preserve">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Subfield groups</w:t>
            </w:r>
          </w:p>
        </w:tc>
        <w:tc>
          <w:p>
            <w:pPr>
              <w:pStyle w:val="Compact"/>
              <w:jc w:val="left"/>
            </w:pPr>
            <w:r>
              <w:t xml:space="preserve">5.24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181</w:t>
            </w:r>
          </w:p>
        </w:tc>
        <w:tc>
          <w:p>
            <w:pPr>
              <w:pStyle w:val="Compact"/>
              <w:jc w:val="left"/>
            </w:pPr>
            <w:r>
              <w:t xml:space="preserve">53.87</w:t>
            </w:r>
          </w:p>
        </w:tc>
        <w:tc>
          <w:p>
            <w:pPr>
              <w:pStyle w:val="Compact"/>
              <w:jc w:val="left"/>
            </w:pPr>
            <w:r>
              <w:t xml:space="preserve">.002</w:t>
            </w:r>
          </w:p>
        </w:tc>
        <w:tc>
          <w:p>
            <w:pPr>
              <w:pStyle w:val="Compact"/>
              <w:jc w:val="left"/>
            </w:pPr>
            <w:r>
              <w:t xml:space="preserve">.080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 period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Subfield groups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181</w:t>
            </w:r>
          </w:p>
        </w:tc>
        <w:tc>
          <w:p>
            <w:pPr>
              <w:pStyle w:val="Compact"/>
              <w:jc w:val="left"/>
            </w:pPr>
            <w:r>
              <w:t xml:space="preserve">53.87</w:t>
            </w:r>
          </w:p>
        </w:tc>
        <w:tc>
          <w:p>
            <w:pPr>
              <w:pStyle w:val="Compact"/>
              <w:jc w:val="left"/>
            </w:pPr>
            <w:r>
              <w:t xml:space="preserve">.822</w:t>
            </w:r>
          </w:p>
        </w:tc>
        <w:tc>
          <w:p>
            <w:pPr>
              <w:pStyle w:val="Compact"/>
              <w:jc w:val="left"/>
            </w:pPr>
            <w:r>
              <w:t xml:space="preserve">.016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This table was created with apa_table().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Our two-way between-subjects ANOVA generated a significant main effect of subfield,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181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5.24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53.87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.002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.080</m:t>
        </m:r>
      </m:oMath>
      <w:r>
        <w:t xml:space="preserve">, however the main effect of time period,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181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0.37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53.87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.694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.004</m:t>
        </m:r>
      </m:oMath>
      <w:r>
        <w:t xml:space="preserve">, and the interaction between time period and subfield,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6</m:t>
        </m:r>
        <m:r>
          <m:rPr>
            <m:sty m:val="p"/>
          </m:rPr>
          <m:t>,</m:t>
        </m:r>
        <m:r>
          <m:t>181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0.48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53.87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.822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.016</m:t>
        </m:r>
      </m:oMath>
      <w:r>
        <w:t xml:space="preserve">, were not statistically significant.</w:t>
      </w:r>
    </w:p>
    <w:bookmarkEnd w:id="27"/>
    <w:bookmarkStart w:id="40" w:name="plots"/>
    <w:p>
      <w:pPr>
        <w:pStyle w:val="Heading1"/>
      </w:pPr>
      <w:r>
        <w:t xml:space="preserve">PLOTS</w:t>
      </w:r>
    </w:p>
    <w:bookmarkStart w:id="33" w:name="data"/>
    <w:p>
      <w:pPr>
        <w:pStyle w:val="Heading2"/>
      </w:pPr>
      <w:r>
        <w:t xml:space="preserve">DATA</w:t>
      </w:r>
    </w:p>
    <w:bookmarkStart w:id="28" w:name="subfield-x-data-score"/>
    <w:p>
      <w:pPr>
        <w:pStyle w:val="Heading3"/>
      </w:pPr>
      <w:r>
        <w:t xml:space="preserve">Subfield x Data Score</w:t>
      </w:r>
    </w:p>
    <w:p>
      <w:pPr>
        <w:pStyle w:val="SourceCode"/>
      </w:pPr>
      <w:r>
        <w:rPr>
          <w:rStyle w:val="VerbatimChar"/>
        </w:rPr>
        <w:t xml:space="preserve">## # A tibble: 4 × 5</w:t>
      </w:r>
      <w:r>
        <w:br/>
      </w:r>
      <w:r>
        <w:rPr>
          <w:rStyle w:val="VerbatimChar"/>
        </w:rPr>
        <w:t xml:space="preserve">##   subfield_groups mean_data_score    SD     N stderr</w:t>
      </w:r>
      <w:r>
        <w:br/>
      </w:r>
      <w:r>
        <w:rPr>
          <w:rStyle w:val="VerbatimChar"/>
        </w:rPr>
        <w:t xml:space="preserve">##   &lt;fct&gt;                     &lt;dbl&gt; &lt;dbl&gt; &lt;int&gt;  &lt;dbl&gt;</w:t>
      </w:r>
      <w:r>
        <w:br/>
      </w:r>
      <w:r>
        <w:rPr>
          <w:rStyle w:val="VerbatimChar"/>
        </w:rPr>
        <w:t xml:space="preserve">## 1 Cognition                  17.2  7.37    61  0.944</w:t>
      </w:r>
      <w:r>
        <w:br/>
      </w:r>
      <w:r>
        <w:rPr>
          <w:rStyle w:val="VerbatimChar"/>
        </w:rPr>
        <w:t xml:space="preserve">## 2 Development                12.5  8.83    34  1.51 </w:t>
      </w:r>
      <w:r>
        <w:br/>
      </w:r>
      <w:r>
        <w:rPr>
          <w:rStyle w:val="VerbatimChar"/>
        </w:rPr>
        <w:t xml:space="preserve">## 3 Other                      13.1  9.07    41  1.42 </w:t>
      </w:r>
      <w:r>
        <w:br/>
      </w:r>
      <w:r>
        <w:rPr>
          <w:rStyle w:val="VerbatimChar"/>
        </w:rPr>
        <w:t xml:space="preserve">## 4 Social                     13.3  9.17    57  1.21</w:t>
      </w:r>
    </w:p>
    <w:bookmarkEnd w:id="28"/>
    <w:bookmarkStart w:id="29" w:name="time-period-x-data-score"/>
    <w:p>
      <w:pPr>
        <w:pStyle w:val="Heading3"/>
      </w:pPr>
      <w:r>
        <w:t xml:space="preserve">Time Period x Data Score</w:t>
      </w:r>
    </w:p>
    <w:p>
      <w:pPr>
        <w:pStyle w:val="SourceCode"/>
      </w:pPr>
      <w:r>
        <w:rPr>
          <w:rStyle w:val="VerbatimChar"/>
        </w:rPr>
        <w:t xml:space="preserve">## # A tibble: 3 × 5</w:t>
      </w:r>
      <w:r>
        <w:br/>
      </w:r>
      <w:r>
        <w:rPr>
          <w:rStyle w:val="VerbatimChar"/>
        </w:rPr>
        <w:t xml:space="preserve">##   time_period   mean_data_score    SD     N stderr</w:t>
      </w:r>
      <w:r>
        <w:br/>
      </w:r>
      <w:r>
        <w:rPr>
          <w:rStyle w:val="VerbatimChar"/>
        </w:rPr>
        <w:t xml:space="preserve">##   &lt;fct&gt;                   &lt;dbl&gt; &lt;dbl&gt; &lt;int&gt;  &lt;dbl&gt;</w:t>
      </w:r>
      <w:r>
        <w:br/>
      </w:r>
      <w:r>
        <w:rPr>
          <w:rStyle w:val="VerbatimChar"/>
        </w:rPr>
        <w:t xml:space="preserve">## 1 2nd half 2019            12.1  9.19    65  1.14 </w:t>
      </w:r>
      <w:r>
        <w:br/>
      </w:r>
      <w:r>
        <w:rPr>
          <w:rStyle w:val="VerbatimChar"/>
        </w:rPr>
        <w:t xml:space="preserve">## 2 1st half 2020            16.0  8.08    91  0.847</w:t>
      </w:r>
      <w:r>
        <w:br/>
      </w:r>
      <w:r>
        <w:rPr>
          <w:rStyle w:val="VerbatimChar"/>
        </w:rPr>
        <w:t xml:space="preserve">## 3 2nd half 2020            14.4  8.70    37  1.43</w:t>
      </w:r>
    </w:p>
    <w:bookmarkEnd w:id="29"/>
    <w:bookmarkStart w:id="32" w:name="X499ed47fe0fdda103df1deb7a3837db3ca5cd32"/>
    <w:p>
      <w:pPr>
        <w:pStyle w:val="Heading3"/>
      </w:pPr>
      <w:r>
        <w:t xml:space="preserve">Interaction between time and subfield - Data scores</w:t>
      </w:r>
    </w:p>
    <w:p>
      <w:pPr>
        <w:pStyle w:val="SourceCode"/>
      </w:pPr>
      <w:r>
        <w:rPr>
          <w:rStyle w:val="VerbatimChar"/>
        </w:rPr>
        <w:t xml:space="preserve">## `summarise()` has grouped output by 'subfield_groups'.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irmatory-1B-Analysis-Markdown-Part-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irmatory-1B-Analysis-Markdown-Part-1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9" w:name="materials"/>
    <w:p>
      <w:pPr>
        <w:pStyle w:val="Heading2"/>
      </w:pPr>
      <w:r>
        <w:t xml:space="preserve">MATERIALS</w:t>
      </w:r>
    </w:p>
    <w:bookmarkStart w:id="34" w:name="subfield-x-materials-score"/>
    <w:p>
      <w:pPr>
        <w:pStyle w:val="Heading3"/>
      </w:pPr>
      <w:r>
        <w:t xml:space="preserve">Subfield x Materials Score</w:t>
      </w:r>
    </w:p>
    <w:p>
      <w:pPr>
        <w:pStyle w:val="SourceCode"/>
      </w:pPr>
      <w:r>
        <w:rPr>
          <w:rStyle w:val="VerbatimChar"/>
        </w:rPr>
        <w:t xml:space="preserve">## # A tibble: 4 × 5</w:t>
      </w:r>
      <w:r>
        <w:br/>
      </w:r>
      <w:r>
        <w:rPr>
          <w:rStyle w:val="VerbatimChar"/>
        </w:rPr>
        <w:t xml:space="preserve">##   subfield_groups mean_materials_score    SD     N stderr</w:t>
      </w:r>
      <w:r>
        <w:br/>
      </w:r>
      <w:r>
        <w:rPr>
          <w:rStyle w:val="VerbatimChar"/>
        </w:rPr>
        <w:t xml:space="preserve">##   &lt;fct&gt;                          &lt;dbl&gt; &lt;dbl&gt; &lt;int&gt;  &lt;dbl&gt;</w:t>
      </w:r>
      <w:r>
        <w:br/>
      </w:r>
      <w:r>
        <w:rPr>
          <w:rStyle w:val="VerbatimChar"/>
        </w:rPr>
        <w:t xml:space="preserve">## 1 Cognition                      12.2   7.37    61  0.944</w:t>
      </w:r>
      <w:r>
        <w:br/>
      </w:r>
      <w:r>
        <w:rPr>
          <w:rStyle w:val="VerbatimChar"/>
        </w:rPr>
        <w:t xml:space="preserve">## 2 Development                     6.79  8.83    34  1.51 </w:t>
      </w:r>
      <w:r>
        <w:br/>
      </w:r>
      <w:r>
        <w:rPr>
          <w:rStyle w:val="VerbatimChar"/>
        </w:rPr>
        <w:t xml:space="preserve">## 3 Other                           7.88  9.07    41  1.42 </w:t>
      </w:r>
      <w:r>
        <w:br/>
      </w:r>
      <w:r>
        <w:rPr>
          <w:rStyle w:val="VerbatimChar"/>
        </w:rPr>
        <w:t xml:space="preserve">## 4 Social                          8.16  9.17    57  1.21</w:t>
      </w:r>
    </w:p>
    <w:bookmarkEnd w:id="34"/>
    <w:bookmarkStart w:id="35" w:name="time-period-x-materials-score"/>
    <w:p>
      <w:pPr>
        <w:pStyle w:val="Heading3"/>
      </w:pPr>
      <w:r>
        <w:t xml:space="preserve">Time Period x Materials Score</w:t>
      </w:r>
    </w:p>
    <w:bookmarkEnd w:id="35"/>
    <w:bookmarkStart w:id="38" w:name="X3607137d4ffcdd65bc1f0de8c5a6deb40d406ea"/>
    <w:p>
      <w:pPr>
        <w:pStyle w:val="Heading3"/>
      </w:pPr>
      <w:r>
        <w:t xml:space="preserve">Interaction between time and subfield - Materials Score</w:t>
      </w:r>
    </w:p>
    <w:p>
      <w:pPr>
        <w:pStyle w:val="SourceCode"/>
      </w:pPr>
      <w:r>
        <w:rPr>
          <w:rStyle w:val="VerbatimChar"/>
        </w:rPr>
        <w:t xml:space="preserve">## `summarise()` has grouped output by 'subfield_groups'.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irmatory-1B-Analysis-Markdown-Part-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irmatory-1B-Analysis-Markdown-Part-1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End w:id="40"/>
    <w:bookmarkStart w:id="49" w:name="subfield-t-tests"/>
    <w:p>
      <w:pPr>
        <w:pStyle w:val="Heading1"/>
      </w:pPr>
      <w:r>
        <w:t xml:space="preserve">SUBFIELD T-TESTS</w:t>
      </w:r>
    </w:p>
    <w:bookmarkStart w:id="44" w:name="data-1"/>
    <w:p>
      <w:pPr>
        <w:pStyle w:val="Heading2"/>
      </w:pPr>
      <w:r>
        <w:t xml:space="preserve">DATA</w:t>
      </w:r>
    </w:p>
    <w:bookmarkStart w:id="41" w:name="development-vs.-cognition"/>
    <w:p>
      <w:pPr>
        <w:pStyle w:val="Heading3"/>
      </w:pPr>
      <w:r>
        <w:t xml:space="preserve">Development vs. Cognition</w:t>
      </w:r>
    </w:p>
    <w:p>
      <w:pPr>
        <w:pStyle w:val="FirstParagraph"/>
      </w:pPr>
      <w:r>
        <w:t xml:space="preserve">An independent samples t-test showed that articles published in the field of Cognition generated higher Open Data Scores, on average, than articles published in the field of Developmental Psychology,</w:t>
      </w:r>
    </w:p>
    <w:p>
      <w:pPr>
        <w:pStyle w:val="SourceCode"/>
      </w:pPr>
      <w:r>
        <w:rPr>
          <w:rStyle w:val="VerbatimChar"/>
        </w:rPr>
        <w:t xml:space="preserve">## t(58.75) = 2.65, p = .010, d = 0.60</w:t>
      </w:r>
    </w:p>
    <w:bookmarkEnd w:id="41"/>
    <w:bookmarkStart w:id="42" w:name="development-vs.-social"/>
    <w:p>
      <w:pPr>
        <w:pStyle w:val="Heading3"/>
      </w:pPr>
      <w:r>
        <w:t xml:space="preserve">Development vs. Social</w:t>
      </w:r>
    </w:p>
    <w:p>
      <w:pPr>
        <w:pStyle w:val="FirstParagraph"/>
      </w:pPr>
      <w:r>
        <w:t xml:space="preserve">An independent samples t-test showed that articles published in the field of Social Psychology did not generate statistically different Open Data Scores, on average, than articles published in the field of Developmental Psychology,</w:t>
      </w:r>
    </w:p>
    <w:p>
      <w:pPr>
        <w:pStyle w:val="SourceCode"/>
      </w:pPr>
      <w:r>
        <w:rPr>
          <w:rStyle w:val="VerbatimChar"/>
        </w:rPr>
        <w:t xml:space="preserve">## t(71.68) = -0.42, p = .675, d = -0.09</w:t>
      </w:r>
    </w:p>
    <w:bookmarkEnd w:id="42"/>
    <w:bookmarkStart w:id="43" w:name="development-vs.-other"/>
    <w:p>
      <w:pPr>
        <w:pStyle w:val="Heading3"/>
      </w:pPr>
      <w:r>
        <w:t xml:space="preserve">Development vs. Other</w:t>
      </w:r>
    </w:p>
    <w:p>
      <w:pPr>
        <w:pStyle w:val="FirstParagraph"/>
      </w:pPr>
      <w:r>
        <w:t xml:space="preserve">An independent samples t-test showed that articles published in the Other subfield did not generate statistically different Open Data Scores, on average, than articles published in the field of Developmental Psychology,</w:t>
      </w:r>
    </w:p>
    <w:p>
      <w:pPr>
        <w:pStyle w:val="SourceCode"/>
      </w:pPr>
      <w:r>
        <w:rPr>
          <w:rStyle w:val="VerbatimChar"/>
        </w:rPr>
        <w:t xml:space="preserve">## t(71.12) = -0.31, p = .756, d = -0.07</w:t>
      </w:r>
    </w:p>
    <w:bookmarkEnd w:id="43"/>
    <w:bookmarkEnd w:id="44"/>
    <w:bookmarkStart w:id="48" w:name="material"/>
    <w:p>
      <w:pPr>
        <w:pStyle w:val="Heading2"/>
      </w:pPr>
      <w:r>
        <w:t xml:space="preserve">MATERIAL</w:t>
      </w:r>
    </w:p>
    <w:bookmarkStart w:id="45" w:name="developmental-vs.-cognition"/>
    <w:p>
      <w:pPr>
        <w:pStyle w:val="Heading3"/>
      </w:pPr>
      <w:r>
        <w:t xml:space="preserve">Developmental vs. Cognition</w:t>
      </w:r>
    </w:p>
    <w:p>
      <w:pPr>
        <w:pStyle w:val="FirstParagraph"/>
      </w:pPr>
      <w:r>
        <w:t xml:space="preserve">An independent samples t-test showed that articles published in the field of Cognition generated higher Open Materials Scores, on average, than articles published in the field of Developmental Psychology,</w:t>
      </w:r>
    </w:p>
    <w:p>
      <w:pPr>
        <w:pStyle w:val="SourceCode"/>
      </w:pPr>
      <w:r>
        <w:rPr>
          <w:rStyle w:val="VerbatimChar"/>
        </w:rPr>
        <w:t xml:space="preserve">## t(61.36) = 3.45, p = .001, d = 0.77</w:t>
      </w:r>
    </w:p>
    <w:bookmarkEnd w:id="45"/>
    <w:bookmarkStart w:id="46" w:name="developmental-vs.-social"/>
    <w:p>
      <w:pPr>
        <w:pStyle w:val="Heading3"/>
      </w:pPr>
      <w:r>
        <w:t xml:space="preserve">Developmental vs. Social</w:t>
      </w:r>
    </w:p>
    <w:p>
      <w:pPr>
        <w:pStyle w:val="FirstParagraph"/>
      </w:pPr>
      <w:r>
        <w:t xml:space="preserve">An independent samples t-test showed that articles published in the field of Social Psychology did not generate statistically different Open Materials Scores, on average, than articles published in the field of Developmental Psychology,</w:t>
      </w:r>
    </w:p>
    <w:p>
      <w:pPr>
        <w:pStyle w:val="SourceCode"/>
      </w:pPr>
      <w:r>
        <w:rPr>
          <w:rStyle w:val="VerbatimChar"/>
        </w:rPr>
        <w:t xml:space="preserve">## t(68.36) = -0.84, p = .406, d = -0.18</w:t>
      </w:r>
    </w:p>
    <w:bookmarkEnd w:id="46"/>
    <w:bookmarkStart w:id="47" w:name="developmental-vs.-other"/>
    <w:p>
      <w:pPr>
        <w:pStyle w:val="Heading3"/>
      </w:pPr>
      <w:r>
        <w:t xml:space="preserve">Developmental vs. Other</w:t>
      </w:r>
    </w:p>
    <w:p>
      <w:pPr>
        <w:pStyle w:val="FirstParagraph"/>
      </w:pPr>
      <w:r>
        <w:t xml:space="preserve">An independent samples t-test showed that articles published in the Other subfield did not generate statistically different Open Materials Scores, on average, than articles published in the field of Developmental Psychology,</w:t>
      </w:r>
    </w:p>
    <w:p>
      <w:pPr>
        <w:pStyle w:val="SourceCode"/>
      </w:pPr>
      <w:r>
        <w:rPr>
          <w:rStyle w:val="VerbatimChar"/>
        </w:rPr>
        <w:t xml:space="preserve">## t(70.45) = -0.62, p = .539, d = -0.14</w:t>
      </w:r>
    </w:p>
    <w:bookmarkEnd w:id="47"/>
    <w:bookmarkEnd w:id="48"/>
    <w:bookmarkEnd w:id="49"/>
    <w:bookmarkStart w:id="54" w:name="time-t-tests"/>
    <w:p>
      <w:pPr>
        <w:pStyle w:val="Heading1"/>
      </w:pPr>
      <w:r>
        <w:t xml:space="preserve">TIME T-TESTS</w:t>
      </w:r>
    </w:p>
    <w:bookmarkStart w:id="52" w:name="data-2"/>
    <w:p>
      <w:pPr>
        <w:pStyle w:val="Heading2"/>
      </w:pPr>
      <w:r>
        <w:t xml:space="preserve">DATA</w:t>
      </w:r>
    </w:p>
    <w:bookmarkStart w:id="50" w:name="second-half-2019-vs.-first-half-2020"/>
    <w:p>
      <w:pPr>
        <w:pStyle w:val="Heading3"/>
      </w:pPr>
      <w:r>
        <w:t xml:space="preserve">Second half 2019 vs. First half 2020</w:t>
      </w:r>
    </w:p>
    <w:p>
      <w:pPr>
        <w:pStyle w:val="FirstParagraph"/>
      </w:pPr>
      <w:r>
        <w:t xml:space="preserve">An independent samples t-test showed that articles published in the first half of 2020 generated significantly higher Open Data Scores, on average, than articles published in the second half of 2019,</w:t>
      </w:r>
    </w:p>
    <w:p>
      <w:pPr>
        <w:pStyle w:val="SourceCode"/>
      </w:pPr>
      <w:r>
        <w:rPr>
          <w:rStyle w:val="VerbatimChar"/>
        </w:rPr>
        <w:t xml:space="preserve">## t(126.73) = -2.70, p = .008, d = -0.45</w:t>
      </w:r>
    </w:p>
    <w:bookmarkEnd w:id="50"/>
    <w:bookmarkStart w:id="51" w:name="first-half-2020-vs.-second-half-2020"/>
    <w:p>
      <w:pPr>
        <w:pStyle w:val="Heading3"/>
      </w:pPr>
      <w:r>
        <w:t xml:space="preserve">First half 2020 vs. Second half 2020</w:t>
      </w:r>
    </w:p>
    <w:p>
      <w:pPr>
        <w:pStyle w:val="FirstParagraph"/>
      </w:pPr>
      <w:r>
        <w:t xml:space="preserve">An independent samples t-test showed that articles published in the second half of 2020 did not generate significantly higher Open Data Scores than articles published in the first half of 2020,</w:t>
      </w:r>
    </w:p>
    <w:p>
      <w:pPr>
        <w:pStyle w:val="SourceCode"/>
      </w:pPr>
      <w:r>
        <w:rPr>
          <w:rStyle w:val="VerbatimChar"/>
        </w:rPr>
        <w:t xml:space="preserve">## t(62.65) = 0.98, p = .331, d = 0.20</w:t>
      </w:r>
    </w:p>
    <w:bookmarkEnd w:id="51"/>
    <w:bookmarkEnd w:id="52"/>
    <w:bookmarkStart w:id="53" w:name="materials-1"/>
    <w:p>
      <w:pPr>
        <w:pStyle w:val="Heading2"/>
      </w:pPr>
      <w:r>
        <w:t xml:space="preserve">MATERIALS</w:t>
      </w:r>
    </w:p>
    <w:p>
      <w:pPr>
        <w:pStyle w:val="FirstParagraph"/>
      </w:pPr>
      <w:r>
        <w:t xml:space="preserve">There time period main effect for Open Materials Scores was not statistically significant, so no t-tests to run here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Confirmatory 1B Analysis Markdown Part 1</dc:title>
  <dc:creator/>
  <cp:keywords/>
  <dcterms:created xsi:type="dcterms:W3CDTF">2021-08-13T10:33:11Z</dcterms:created>
  <dcterms:modified xsi:type="dcterms:W3CDTF">2021-08-13T10:33:11Z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