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center"/>
      </w:pPr>
      <w:r>
        <w:t xml:space="preserve">Software Architecture Document (SAD)</w:t>
      </w:r>
    </w:p>
    <w:p>
      <w:pPr>
        <w:spacing w:after="400"/>
        <w:jc w:val="center"/>
      </w:pPr>
      <w:r>
        <w:t xml:space="preserve">Enzymatica Portal v2.0</w:t>
      </w:r>
    </w:p>
    <w:p>
      <w:pPr>
        <w:pStyle w:val="Heading1"/>
      </w:pPr>
      <w:r>
        <w:t xml:space="preserve">1. Arkitekturell Överblick</w:t>
      </w:r>
    </w:p>
    <w:p>
      <w:r>
        <w:t xml:space="preserve">Systemet är uppbyggt som en distribuerad tjänst med Next.js som central nav. Arkitekturen prioriterar data-lokalitet genom en hybrid-lagringsmodell.</w:t>
      </w:r>
    </w:p>
    <w:p>
      <w:pPr>
        <w:spacing w:after="200" w:before="200"/>
        <w:jc w:val="center"/>
      </w:pPr>
      <w:r>
        <w:drawing>
          <wp:inline distT="0" distB="0" distL="0" distR="0">
            <wp:extent cx="4762500" cy="2678906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678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spacing w:before="400"/>
      </w:pPr>
      <w:r>
        <w:t xml:space="preserve">2. Hybrid Datastrategi</w:t>
      </w:r>
    </w:p>
    <w:p>
      <w:r>
        <w:t xml:space="preserve">För att uppnå extrem läshastighet lagras artiklar och grundinställningar i lokala JSON-filer. Detta gör att vi kan använda filsystemets I/O-prestanda istället för traditionella SQL-anrop för statiskt innehåll.</w:t>
      </w:r>
    </w:p>
    <w:p>
      <w:pPr>
        <w:spacing w:after="200" w:before="200"/>
        <w:jc w:val="center"/>
      </w:pPr>
      <w:r>
        <w:drawing>
          <wp:inline distT="0" distB="0" distL="0" distR="0">
            <wp:extent cx="4762500" cy="2678906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678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spacing w:before="400"/>
      </w:pPr>
      <w:r>
        <w:t xml:space="preserve">3. Säkerhet &amp; RBAC</w:t>
      </w:r>
    </w:p>
    <w:p>
      <w:r>
        <w:t xml:space="preserve">Säkerheten hanteras i tre lager: 1. Edge-validering av JWT, 2. Middleware-baserad rollkontroll mot Supabase, och 3. Databas-nivå RLS (Row Level Security).</w:t>
      </w:r>
    </w:p>
    <w:p>
      <w:pPr>
        <w:spacing w:after="200" w:before="200"/>
        <w:jc w:val="center"/>
      </w:pPr>
      <w:r>
        <w:drawing>
          <wp:inline distT="0" distB="0" distL="0" distR="0">
            <wp:extent cx="4762500" cy="2678906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678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spacing w:before="400"/>
      </w:pPr>
      <w:r>
        <w:t xml:space="preserve">4. Social Media Integration Engine</w:t>
      </w:r>
    </w:p>
    <w:p>
      <w:r>
        <w:t xml:space="preserve">Vår SoMe-motor hanterar automatisk token-exchange (User-to-Page token) och stödjer 5 olika plattformar (FB, IG, LI, TT, X).</w:t>
      </w:r>
    </w:p>
    <w:p>
      <w:pPr>
        <w:spacing w:after="200" w:before="200"/>
        <w:jc w:val="center"/>
      </w:pPr>
      <w:r>
        <w:drawing>
          <wp:inline distT="0" distB="0" distL="0" distR="0">
            <wp:extent cx="4762500" cy="2678906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678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spacing w:before="400"/>
      </w:pPr>
      <w:r>
        <w:t xml:space="preserve">5. Finansiell Proxy &amp; Analys</w:t>
      </w:r>
    </w:p>
    <w:p>
      <w:r>
        <w:t xml:space="preserve">Eftersom Next.js körs på servern kan vi dölja API-nycklar till finansiella leverantörer genom en proxy-rutt (`/api/stock`), vilket förhindrar CORS-problem och skyddar vår data.</w:t>
      </w:r>
    </w:p>
    <w:p>
      <w:pPr>
        <w:spacing w:after="200" w:before="200"/>
        <w:jc w:val="center"/>
      </w:pPr>
      <w:r>
        <w:drawing>
          <wp:inline distT="0" distB="0" distL="0" distR="0">
            <wp:extent cx="4762500" cy="2678906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678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b412338e6f347550d31da5ec54aff3740fb42217.undefined"/><Relationship Id="rId8" Type="http://schemas.openxmlformats.org/officeDocument/2006/relationships/image" Target="media/c08538d5ea02ac41b8ddb7574e7b857c9cd17da6.undefined"/><Relationship Id="rId9" Type="http://schemas.openxmlformats.org/officeDocument/2006/relationships/image" Target="media/ababbb98d2a036a7e088e8a9ba478cddc510d764.undefined"/><Relationship Id="rId10" Type="http://schemas.openxmlformats.org/officeDocument/2006/relationships/image" Target="media/e705d3bb5dbaf0bb1236899cc7ad93f6f5f760ea.undefined"/><Relationship Id="rId11" Type="http://schemas.openxmlformats.org/officeDocument/2006/relationships/image" Target="media/74d8e2e43d3d321bea6c5987b16079811c625436.undefined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2026-04-21T11:55:48.538Z</dcterms:created>
  <dcterms:modified xsi:type="dcterms:W3CDTF">2026-04-21T11:55:48.538Z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