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7D566C">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7D566C">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sind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r w:rsidR="005C2913" w:rsidRPr="00AB0DA8">
        <w:rPr>
          <w:rFonts w:ascii="Arial" w:hAnsi="Arial" w:cs="Arial"/>
          <w:sz w:val="24"/>
          <w:szCs w:val="24"/>
        </w:rPr>
        <w:t>speedikon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en von speedikon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BarcodeScanner</w:t>
      </w:r>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2.1.2 Zxing</w:t>
      </w:r>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gen wie Amazon, Ebay</w:t>
      </w:r>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 xml:space="preserve">chnittstellen hat sich die Architektur REST (Representational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Resource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r w:rsidRPr="00AB0DA8">
        <w:rPr>
          <w:rFonts w:ascii="Arial" w:hAnsi="Arial" w:cs="Arial"/>
          <w:sz w:val="24"/>
          <w:szCs w:val="24"/>
        </w:rPr>
        <w:t>Hyper</w:t>
      </w:r>
      <w:r w:rsidR="00180B50">
        <w:rPr>
          <w:rFonts w:ascii="Arial" w:hAnsi="Arial" w:cs="Arial"/>
          <w:sz w:val="24"/>
          <w:szCs w:val="24"/>
        </w:rPr>
        <w:t xml:space="preserve"> Text Transfer Prototocoll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plattform </w:t>
      </w:r>
      <w:r w:rsidR="007D75DD" w:rsidRPr="00AB0DA8">
        <w:rPr>
          <w:rFonts w:ascii="Arial" w:hAnsi="Arial" w:cs="Arial"/>
          <w:sz w:val="24"/>
          <w:szCs w:val="24"/>
        </w:rPr>
        <w:t>unabhägig,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„RESTful“-Webservices zu implementieren. Unteranderem bietet es die Möglichkeit</w:t>
      </w:r>
      <w:r w:rsidR="00AF0C8A">
        <w:rPr>
          <w:rFonts w:ascii="Arial" w:hAnsi="Arial" w:cs="Arial"/>
          <w:sz w:val="24"/>
          <w:szCs w:val="24"/>
        </w:rPr>
        <w:t xml:space="preserve"> Annotations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Annotations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(„root ressource“)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r>
        <w:rPr>
          <w:rFonts w:ascii="Arial" w:hAnsi="Arial" w:cs="Arial"/>
          <w:sz w:val="24"/>
          <w:szCs w:val="24"/>
        </w:rPr>
        <w:t>public class TestKlasse{</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public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r>
        <w:rPr>
          <w:rFonts w:ascii="Arial" w:hAnsi="Arial" w:cs="Arial"/>
          <w:sz w:val="24"/>
          <w:szCs w:val="24"/>
        </w:rPr>
        <w:t xml:space="preserve">Die im Webservice aufzurufende URI wäre dann </w:t>
      </w:r>
    </w:p>
    <w:p w:rsidR="0041692D" w:rsidRDefault="007D566C"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@Produces</w:t>
      </w:r>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@PathParam</w:t>
      </w:r>
    </w:p>
    <w:p w:rsidR="00BB4054" w:rsidRDefault="007F30A9" w:rsidP="00BB4054">
      <w:pPr>
        <w:ind w:left="1410"/>
        <w:jc w:val="both"/>
        <w:rPr>
          <w:rFonts w:ascii="Arial" w:hAnsi="Arial" w:cs="Arial"/>
          <w:sz w:val="24"/>
          <w:szCs w:val="24"/>
        </w:rPr>
      </w:pPr>
      <w:r>
        <w:rPr>
          <w:rFonts w:ascii="Arial" w:hAnsi="Arial" w:cs="Arial"/>
          <w:sz w:val="24"/>
          <w:szCs w:val="24"/>
        </w:rPr>
        <w:t>Die Annotation @PathParam</w:t>
      </w:r>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gesch</w:t>
      </w:r>
      <w:r w:rsidR="00BB4054">
        <w:rPr>
          <w:rFonts w:ascii="Arial" w:hAnsi="Arial" w:cs="Arial"/>
          <w:sz w:val="24"/>
          <w:szCs w:val="24"/>
        </w:rPr>
        <w:t>weiften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public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@PathParam(</w:t>
      </w:r>
      <w:r w:rsidR="007F30A9">
        <w:rPr>
          <w:rFonts w:ascii="Arial" w:hAnsi="Arial" w:cs="Arial"/>
          <w:sz w:val="24"/>
          <w:szCs w:val="24"/>
          <w:lang w:val="en-US"/>
        </w:rPr>
        <w:t>“parameter”</w:t>
      </w:r>
      <w:r w:rsidR="007F30A9">
        <w:rPr>
          <w:rFonts w:ascii="Arial" w:hAnsi="Arial" w:cs="Arial"/>
          <w:sz w:val="24"/>
          <w:szCs w:val="24"/>
        </w:rPr>
        <w:t>) String eingabe</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@FormParam</w:t>
      </w:r>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@FormParam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public String testMethode3(@FormParam(</w:t>
      </w:r>
      <w:r>
        <w:rPr>
          <w:rFonts w:ascii="Arial" w:hAnsi="Arial" w:cs="Arial"/>
          <w:sz w:val="24"/>
          <w:szCs w:val="24"/>
          <w:lang w:val="en-US"/>
        </w:rPr>
        <w:t>“parameter”</w:t>
      </w:r>
      <w:r>
        <w:rPr>
          <w:rFonts w:ascii="Arial" w:hAnsi="Arial" w:cs="Arial"/>
          <w:sz w:val="24"/>
          <w:szCs w:val="24"/>
        </w:rPr>
        <w:t>) String eingabe){</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Die Entwicklung von Testszenarien und den entsprechenden Tests sollte so früh wie möglich erfolgen, so dass auftretende Fehler möglichst wenig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Die Unittests sind Testklassen, in denen Methoden implementiert werden, die einzelne Module des Programmes isoliert, d.h. ohne Einwirkung von anderen Modulen, testen. Unittests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Diese Tests stellen die nächste Stufe der Softwaretests nach den Unittests dar. Im Gegensatz zu den Unittests,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Usability-Tests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Aus Sicht der Anwender stellen Usability</w:t>
      </w:r>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Usability-Tests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Unittests </w:t>
      </w:r>
      <w:r w:rsidR="00993356">
        <w:rPr>
          <w:rFonts w:ascii="Arial" w:hAnsi="Arial" w:cs="Arial"/>
          <w:sz w:val="24"/>
          <w:szCs w:val="24"/>
        </w:rPr>
        <w:t>mit der Umsetzung für</w:t>
      </w:r>
      <w:r w:rsidR="00AF2CAF">
        <w:rPr>
          <w:rFonts w:ascii="Arial" w:hAnsi="Arial" w:cs="Arial"/>
          <w:sz w:val="24"/>
          <w:szCs w:val="24"/>
        </w:rPr>
        <w:t xml:space="preserve"> Java mit JUnit erfolgen</w:t>
      </w:r>
      <w:r w:rsidR="003567C8">
        <w:rPr>
          <w:rFonts w:ascii="Arial" w:hAnsi="Arial" w:cs="Arial"/>
          <w:sz w:val="24"/>
          <w:szCs w:val="24"/>
        </w:rPr>
        <w:t xml:space="preserve">. </w:t>
      </w:r>
      <w:r w:rsidR="00AF2CAF">
        <w:rPr>
          <w:rFonts w:ascii="Arial" w:hAnsi="Arial" w:cs="Arial"/>
          <w:sz w:val="24"/>
          <w:szCs w:val="24"/>
        </w:rPr>
        <w:t>Weiterhin soll die mögliche Umsetzung von Tests in Android betrachtet werden.</w:t>
      </w:r>
    </w:p>
    <w:p w:rsidR="00AF2CAF" w:rsidRDefault="00AF2CAF" w:rsidP="00AB0DA8">
      <w:pPr>
        <w:jc w:val="both"/>
        <w:rPr>
          <w:rFonts w:ascii="Arial" w:hAnsi="Arial" w:cs="Arial"/>
          <w:sz w:val="24"/>
          <w:szCs w:val="24"/>
        </w:rPr>
      </w:pPr>
    </w:p>
    <w:p w:rsidR="00AF2CAF" w:rsidRDefault="00AF2CAF" w:rsidP="00AB0DA8">
      <w:pPr>
        <w:jc w:val="both"/>
        <w:rPr>
          <w:rFonts w:ascii="Arial" w:hAnsi="Arial" w:cs="Arial"/>
          <w:sz w:val="24"/>
          <w:szCs w:val="24"/>
        </w:rPr>
      </w:pPr>
      <w:r>
        <w:rPr>
          <w:rFonts w:ascii="Arial" w:hAnsi="Arial" w:cs="Arial"/>
          <w:sz w:val="24"/>
          <w:szCs w:val="24"/>
        </w:rPr>
        <w:t>2.3.2 JUnit</w:t>
      </w:r>
      <w:r w:rsidR="004E3728">
        <w:rPr>
          <w:rFonts w:ascii="Arial" w:hAnsi="Arial" w:cs="Arial"/>
          <w:sz w:val="24"/>
          <w:szCs w:val="24"/>
        </w:rPr>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Das JUnit-Framework ist aus dem von Kent Beck entwickelten SUnit-Framework für die Programmiersprache Smalltalk hervorgegangen. [RAI05] Das JUnit-Framework</w:t>
      </w:r>
      <w:r w:rsidR="00AA124D">
        <w:rPr>
          <w:rFonts w:ascii="Arial" w:hAnsi="Arial" w:cs="Arial"/>
          <w:sz w:val="24"/>
          <w:szCs w:val="24"/>
        </w:rPr>
        <w:t xml:space="preserve"> stellt Methoden </w:t>
      </w:r>
      <w:r w:rsidR="006F2629">
        <w:rPr>
          <w:rFonts w:ascii="Arial" w:hAnsi="Arial" w:cs="Arial"/>
          <w:sz w:val="24"/>
          <w:szCs w:val="24"/>
        </w:rPr>
        <w:t>zur Verfügung um Unittests durchzuführen. Unteranderem zählen dazu Methoden mit denen die Testumgebung vorbereitet werden kann, die die Ergebnisse visualisieren und die getesteten Objekte freizugeben</w:t>
      </w:r>
      <w:r w:rsidR="005C6CF4">
        <w:rPr>
          <w:rFonts w:ascii="Arial" w:hAnsi="Arial" w:cs="Arial"/>
          <w:sz w:val="24"/>
          <w:szCs w:val="24"/>
        </w:rPr>
        <w:t>. Die zu implementierenden Test-Klassen stellen eine Unterklasse der Klasse TestCase aus dem JUnit-Framework dar, die die benötigten Methoden bereitstellt. Nachfolgend sollen einige Methoden aus der Klasse TestCase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r>
        <w:rPr>
          <w:rFonts w:ascii="Arial" w:hAnsi="Arial" w:cs="Arial"/>
          <w:sz w:val="24"/>
          <w:szCs w:val="24"/>
        </w:rPr>
        <w:t>setUp()</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setUp()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setUp()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r>
        <w:rPr>
          <w:rFonts w:ascii="Arial" w:hAnsi="Arial" w:cs="Arial"/>
          <w:sz w:val="24"/>
          <w:szCs w:val="24"/>
        </w:rPr>
        <w:t>tearDown()</w:t>
      </w:r>
    </w:p>
    <w:p w:rsidR="00505020" w:rsidRDefault="009262BA" w:rsidP="00505020">
      <w:pPr>
        <w:ind w:left="1080"/>
        <w:jc w:val="both"/>
        <w:rPr>
          <w:rFonts w:ascii="Arial" w:hAnsi="Arial" w:cs="Arial"/>
          <w:sz w:val="24"/>
          <w:szCs w:val="24"/>
        </w:rPr>
      </w:pPr>
      <w:r w:rsidRPr="009262BA">
        <w:rPr>
          <w:rFonts w:ascii="Arial" w:hAnsi="Arial" w:cs="Arial"/>
          <w:sz w:val="24"/>
          <w:szCs w:val="24"/>
        </w:rPr>
        <w:t>Die Methode tearDown()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JUnit-Framework weitere Methoden zur Verfügung um Behauptungen aufzustellen und zu überprüfen ob diese erfüllt werden. </w:t>
      </w:r>
      <w:r w:rsidR="00E7580D">
        <w:rPr>
          <w:rFonts w:ascii="Arial" w:hAnsi="Arial" w:cs="Arial"/>
          <w:sz w:val="24"/>
          <w:szCs w:val="24"/>
        </w:rPr>
        <w:t xml:space="preserve">Die Methoden stehen in der Klasse Assert zur Verfügung, die durch die Klasse TestCase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r w:rsidRPr="00505020">
        <w:rPr>
          <w:rFonts w:ascii="Arial" w:hAnsi="Arial" w:cs="Arial"/>
          <w:sz w:val="24"/>
          <w:szCs w:val="24"/>
        </w:rPr>
        <w:t>assert</w:t>
      </w:r>
      <w:r w:rsidR="00E7580D">
        <w:rPr>
          <w:rFonts w:ascii="Arial" w:hAnsi="Arial" w:cs="Arial"/>
          <w:sz w:val="24"/>
          <w:szCs w:val="24"/>
        </w:rPr>
        <w:t>Equals</w:t>
      </w:r>
      <w:r w:rsidRPr="00505020">
        <w:rPr>
          <w:rFonts w:ascii="Arial" w:hAnsi="Arial" w:cs="Arial"/>
          <w:sz w:val="24"/>
          <w:szCs w:val="24"/>
        </w:rPr>
        <w:t>(</w:t>
      </w:r>
      <w:r w:rsidR="0063165E">
        <w:rPr>
          <w:rFonts w:ascii="Arial" w:hAnsi="Arial" w:cs="Arial"/>
          <w:sz w:val="24"/>
          <w:szCs w:val="24"/>
        </w:rPr>
        <w:t>[String nachricht], erwartet, derzeitig</w:t>
      </w:r>
      <w:r w:rsidRPr="00505020">
        <w:rPr>
          <w:rFonts w:ascii="Arial" w:hAnsi="Arial" w:cs="Arial"/>
          <w:sz w:val="24"/>
          <w:szCs w:val="24"/>
        </w:rPr>
        <w:t>)</w:t>
      </w:r>
    </w:p>
    <w:p w:rsidR="00E7580D" w:rsidRPr="009814C3"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derzeitgen Wert zu vergleichen, den der zu testende </w:t>
      </w:r>
      <w:r>
        <w:rPr>
          <w:rFonts w:ascii="Arial" w:hAnsi="Arial" w:cs="Arial"/>
          <w:sz w:val="24"/>
          <w:szCs w:val="24"/>
        </w:rPr>
        <w:lastRenderedPageBreak/>
        <w:t xml:space="preserve">Quellcode bereitstellt. Die Nachricht </w:t>
      </w:r>
      <w:r w:rsidR="00F916DC">
        <w:rPr>
          <w:rFonts w:ascii="Arial" w:hAnsi="Arial" w:cs="Arial"/>
          <w:sz w:val="24"/>
          <w:szCs w:val="24"/>
        </w:rPr>
        <w:t>kann optional angegeben werden und wird bei einem negativen Testergebnis</w:t>
      </w:r>
      <w:bookmarkStart w:id="3" w:name="_GoBack"/>
      <w:bookmarkEnd w:id="3"/>
    </w:p>
    <w:p w:rsidR="00647720" w:rsidRDefault="00647720">
      <w:pPr>
        <w:spacing w:after="0" w:line="240" w:lineRule="auto"/>
        <w:rPr>
          <w:rFonts w:ascii="Arial" w:hAnsi="Arial" w:cs="Arial"/>
          <w:sz w:val="24"/>
          <w:szCs w:val="24"/>
        </w:rPr>
      </w:pPr>
    </w:p>
    <w:p w:rsidR="00A86EA8" w:rsidRDefault="00A86EA8" w:rsidP="00A86EA8">
      <w:pPr>
        <w:pStyle w:val="Listenabsatz"/>
        <w:numPr>
          <w:ilvl w:val="0"/>
          <w:numId w:val="5"/>
        </w:numPr>
        <w:spacing w:after="0" w:line="240" w:lineRule="auto"/>
        <w:rPr>
          <w:rFonts w:ascii="Arial" w:hAnsi="Arial" w:cs="Arial"/>
          <w:sz w:val="24"/>
          <w:szCs w:val="24"/>
        </w:rPr>
      </w:pPr>
      <w:r w:rsidRPr="00A86EA8">
        <w:rPr>
          <w:rFonts w:ascii="Arial" w:hAnsi="Arial" w:cs="Arial"/>
          <w:sz w:val="24"/>
          <w:szCs w:val="24"/>
        </w:rPr>
        <w:t>setUp()</w:t>
      </w:r>
    </w:p>
    <w:p w:rsidR="00A86EA8" w:rsidRPr="00A86EA8" w:rsidRDefault="00A86EA8" w:rsidP="00A86EA8">
      <w:r>
        <w:t>Die Methode setUp()</w:t>
      </w:r>
    </w:p>
    <w:p w:rsidR="00A86EA8" w:rsidRPr="00A86EA8" w:rsidRDefault="00A86EA8" w:rsidP="00A86EA8">
      <w:pPr>
        <w:pStyle w:val="Listenabsatz"/>
        <w:numPr>
          <w:ilvl w:val="0"/>
          <w:numId w:val="5"/>
        </w:numPr>
        <w:spacing w:after="0" w:line="240" w:lineRule="auto"/>
        <w:rPr>
          <w:rFonts w:ascii="Arial" w:hAnsi="Arial" w:cs="Arial"/>
          <w:sz w:val="24"/>
          <w:szCs w:val="24"/>
        </w:rPr>
      </w:pPr>
      <w:r>
        <w:rPr>
          <w:rFonts w:ascii="Arial" w:hAnsi="Arial" w:cs="Arial"/>
          <w:sz w:val="24"/>
          <w:szCs w:val="24"/>
        </w:rPr>
        <w:t>äölöö</w:t>
      </w:r>
    </w:p>
    <w:p w:rsidR="00A86EA8" w:rsidRDefault="00A86EA8">
      <w:pPr>
        <w:spacing w:after="0" w:line="240" w:lineRule="auto"/>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JUnit</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lastRenderedPageBreak/>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66C" w:rsidRDefault="007D566C" w:rsidP="00D12AF6">
      <w:pPr>
        <w:spacing w:after="0" w:line="240" w:lineRule="auto"/>
      </w:pPr>
      <w:r>
        <w:separator/>
      </w:r>
    </w:p>
  </w:endnote>
  <w:endnote w:type="continuationSeparator" w:id="0">
    <w:p w:rsidR="007D566C" w:rsidRDefault="007D566C"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Languag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66C" w:rsidRDefault="007D566C" w:rsidP="00D12AF6">
      <w:pPr>
        <w:spacing w:after="0" w:line="240" w:lineRule="auto"/>
      </w:pPr>
      <w:r>
        <w:separator/>
      </w:r>
    </w:p>
  </w:footnote>
  <w:footnote w:type="continuationSeparator" w:id="0">
    <w:p w:rsidR="007D566C" w:rsidRDefault="007D566C"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F32EB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A5941"/>
    <w:rsid w:val="000C5790"/>
    <w:rsid w:val="000F0867"/>
    <w:rsid w:val="00124B35"/>
    <w:rsid w:val="00161E71"/>
    <w:rsid w:val="0016239F"/>
    <w:rsid w:val="00180B50"/>
    <w:rsid w:val="001B020F"/>
    <w:rsid w:val="001F6B50"/>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6D86"/>
    <w:rsid w:val="003567C8"/>
    <w:rsid w:val="003E2E8A"/>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9144B"/>
    <w:rsid w:val="005C2913"/>
    <w:rsid w:val="005C43F3"/>
    <w:rsid w:val="005C6CF4"/>
    <w:rsid w:val="00623912"/>
    <w:rsid w:val="00627B58"/>
    <w:rsid w:val="0063165E"/>
    <w:rsid w:val="00647720"/>
    <w:rsid w:val="006C69E9"/>
    <w:rsid w:val="006F2629"/>
    <w:rsid w:val="00735C21"/>
    <w:rsid w:val="0073738B"/>
    <w:rsid w:val="007B42AA"/>
    <w:rsid w:val="007D01F0"/>
    <w:rsid w:val="007D566C"/>
    <w:rsid w:val="007D75DD"/>
    <w:rsid w:val="007F30A9"/>
    <w:rsid w:val="0082179F"/>
    <w:rsid w:val="00847919"/>
    <w:rsid w:val="00851B06"/>
    <w:rsid w:val="008A510C"/>
    <w:rsid w:val="008E1F27"/>
    <w:rsid w:val="008F2A0A"/>
    <w:rsid w:val="009262BA"/>
    <w:rsid w:val="009308DC"/>
    <w:rsid w:val="0095062D"/>
    <w:rsid w:val="00962F5C"/>
    <w:rsid w:val="00976095"/>
    <w:rsid w:val="009814C3"/>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4906"/>
    <w:rsid w:val="00C7184B"/>
    <w:rsid w:val="00C772EB"/>
    <w:rsid w:val="00CD3A33"/>
    <w:rsid w:val="00CE3C69"/>
    <w:rsid w:val="00D12AF6"/>
    <w:rsid w:val="00D375E5"/>
    <w:rsid w:val="00D55D65"/>
    <w:rsid w:val="00D75F12"/>
    <w:rsid w:val="00DE6AD0"/>
    <w:rsid w:val="00DF039B"/>
    <w:rsid w:val="00DF2E02"/>
    <w:rsid w:val="00DF3B1D"/>
    <w:rsid w:val="00E26E8D"/>
    <w:rsid w:val="00E7580D"/>
    <w:rsid w:val="00EC0D14"/>
    <w:rsid w:val="00EC1E56"/>
    <w:rsid w:val="00EC602E"/>
    <w:rsid w:val="00ED27BB"/>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76F8B494-00DF-4B23-87FF-A6003FF0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2075</Words>
  <Characters>13073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30</cp:revision>
  <dcterms:created xsi:type="dcterms:W3CDTF">2011-06-15T10:10:00Z</dcterms:created>
  <dcterms:modified xsi:type="dcterms:W3CDTF">2011-07-04T09:51:00Z</dcterms:modified>
</cp:coreProperties>
</file>