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61D5" w14:textId="65D11B3E" w:rsidR="00B90CE5" w:rsidRPr="00B90CE5" w:rsidRDefault="00232EFD" w:rsidP="00B90CE5">
      <w:pPr>
        <w:rPr>
          <w:rFonts w:ascii="Times New Roman" w:hAnsi="Times New Roman" w:cs="Times New Roman"/>
          <w:sz w:val="24"/>
          <w:szCs w:val="24"/>
        </w:rPr>
      </w:pPr>
      <w:r w:rsidRPr="00B90CE5">
        <w:rPr>
          <w:rFonts w:ascii="Times New Roman" w:hAnsi="Times New Roman" w:cs="Times New Roman"/>
          <w:sz w:val="24"/>
          <w:szCs w:val="24"/>
        </w:rPr>
        <w:t>Metadata</w:t>
      </w:r>
      <w:r w:rsidR="00B90CE5" w:rsidRPr="00B90CE5">
        <w:rPr>
          <w:rFonts w:ascii="Times New Roman" w:hAnsi="Times New Roman" w:cs="Times New Roman"/>
          <w:sz w:val="24"/>
          <w:szCs w:val="24"/>
        </w:rPr>
        <w:t xml:space="preserve"> for: </w:t>
      </w:r>
    </w:p>
    <w:p w14:paraId="46326FB4" w14:textId="600C59A1" w:rsidR="00B90CE5" w:rsidRPr="00B90CE5" w:rsidRDefault="00B90CE5" w:rsidP="00B90CE5">
      <w:pPr>
        <w:rPr>
          <w:rFonts w:ascii="Times New Roman" w:hAnsi="Times New Roman" w:cs="Times New Roman"/>
          <w:b/>
          <w:bCs/>
          <w:color w:val="000000"/>
          <w:sz w:val="24"/>
          <w:szCs w:val="24"/>
        </w:rPr>
      </w:pPr>
      <w:r w:rsidRPr="00B90CE5">
        <w:rPr>
          <w:rFonts w:ascii="Times New Roman" w:hAnsi="Times New Roman" w:cs="Times New Roman"/>
          <w:b/>
          <w:bCs/>
          <w:color w:val="000000"/>
          <w:sz w:val="24"/>
          <w:szCs w:val="24"/>
        </w:rPr>
        <w:t>Towards an integrative strategy for conservation of crop wild relatives (CWR) and wild-utilized plants (WUS) in Canada</w:t>
      </w:r>
    </w:p>
    <w:p w14:paraId="17F41812" w14:textId="77777777" w:rsidR="00B90CE5" w:rsidRPr="00B90CE5" w:rsidRDefault="00B90CE5" w:rsidP="00B90CE5">
      <w:pPr>
        <w:rPr>
          <w:rFonts w:ascii="Times New Roman" w:hAnsi="Times New Roman" w:cs="Times New Roman"/>
          <w:color w:val="000000"/>
          <w:sz w:val="24"/>
          <w:szCs w:val="24"/>
          <w:lang w:val="de-DE"/>
        </w:rPr>
      </w:pPr>
      <w:r w:rsidRPr="00B90CE5">
        <w:rPr>
          <w:rFonts w:ascii="Times New Roman" w:hAnsi="Times New Roman" w:cs="Times New Roman"/>
          <w:color w:val="000000"/>
          <w:sz w:val="24"/>
          <w:szCs w:val="24"/>
          <w:lang w:val="de-DE"/>
        </w:rPr>
        <w:t xml:space="preserve">Jens C. Ulrich*, </w:t>
      </w:r>
      <w:r w:rsidRPr="00B90CE5">
        <w:rPr>
          <w:rFonts w:ascii="Times New Roman" w:hAnsi="Times New Roman" w:cs="Times New Roman"/>
          <w:color w:val="000000"/>
          <w:sz w:val="24"/>
          <w:szCs w:val="24"/>
        </w:rPr>
        <w:t>Tara L. Moreau,</w:t>
      </w:r>
      <w:r w:rsidRPr="00B90CE5">
        <w:rPr>
          <w:rFonts w:ascii="Times New Roman" w:hAnsi="Times New Roman" w:cs="Times New Roman"/>
          <w:color w:val="000000"/>
          <w:sz w:val="24"/>
          <w:szCs w:val="24"/>
          <w:lang w:val="de-DE"/>
        </w:rPr>
        <w:t xml:space="preserve"> Erika Luna-Perez, </w:t>
      </w:r>
      <w:proofErr w:type="spellStart"/>
      <w:r w:rsidRPr="00B90CE5">
        <w:rPr>
          <w:rFonts w:ascii="Times New Roman" w:hAnsi="Times New Roman" w:cs="Times New Roman"/>
          <w:color w:val="000000"/>
          <w:sz w:val="24"/>
          <w:szCs w:val="24"/>
        </w:rPr>
        <w:t>Kephra</w:t>
      </w:r>
      <w:proofErr w:type="spellEnd"/>
      <w:r w:rsidRPr="00B90CE5">
        <w:rPr>
          <w:rFonts w:ascii="Times New Roman" w:hAnsi="Times New Roman" w:cs="Times New Roman"/>
          <w:color w:val="000000"/>
          <w:sz w:val="24"/>
          <w:szCs w:val="24"/>
        </w:rPr>
        <w:t xml:space="preserve"> I.S. Beckett, Lili K. Simon, Zo</w:t>
      </w:r>
      <w:r w:rsidRPr="00B90CE5">
        <w:rPr>
          <w:rFonts w:ascii="Times New Roman" w:hAnsi="Times New Roman" w:cs="Times New Roman"/>
          <w:color w:val="000000"/>
          <w:sz w:val="24"/>
          <w:szCs w:val="24"/>
          <w:shd w:val="clear" w:color="auto" w:fill="FFFFFF"/>
        </w:rPr>
        <w:t>ë</w:t>
      </w:r>
      <w:r w:rsidRPr="00B90CE5">
        <w:rPr>
          <w:rFonts w:ascii="Times New Roman" w:hAnsi="Times New Roman" w:cs="Times New Roman"/>
          <w:color w:val="000000"/>
          <w:sz w:val="24"/>
          <w:szCs w:val="24"/>
        </w:rPr>
        <w:t xml:space="preserve"> Migicovsky, Axel </w:t>
      </w:r>
      <w:proofErr w:type="spellStart"/>
      <w:r w:rsidRPr="00B90CE5">
        <w:rPr>
          <w:rFonts w:ascii="Times New Roman" w:hAnsi="Times New Roman" w:cs="Times New Roman"/>
          <w:color w:val="000000"/>
          <w:sz w:val="24"/>
          <w:szCs w:val="24"/>
        </w:rPr>
        <w:t>Diederichsen</w:t>
      </w:r>
      <w:proofErr w:type="spellEnd"/>
      <w:r w:rsidRPr="00B90CE5">
        <w:rPr>
          <w:rFonts w:ascii="Times New Roman" w:hAnsi="Times New Roman" w:cs="Times New Roman"/>
          <w:color w:val="000000"/>
          <w:sz w:val="24"/>
          <w:szCs w:val="24"/>
        </w:rPr>
        <w:t>, and Colin K. Khoury</w:t>
      </w:r>
    </w:p>
    <w:p w14:paraId="37694B88" w14:textId="4EAEB066" w:rsidR="00F329AC" w:rsidRDefault="00B90CE5">
      <w:pPr>
        <w:pBdr>
          <w:bottom w:val="single" w:sz="6" w:space="1" w:color="auto"/>
        </w:pBdr>
        <w:rPr>
          <w:rFonts w:ascii="Times New Roman" w:hAnsi="Times New Roman" w:cs="Times New Roman"/>
          <w:sz w:val="24"/>
          <w:szCs w:val="24"/>
        </w:rPr>
      </w:pPr>
      <w:r w:rsidRPr="00B90CE5">
        <w:rPr>
          <w:rFonts w:ascii="Times New Roman" w:hAnsi="Times New Roman" w:cs="Times New Roman"/>
          <w:sz w:val="24"/>
          <w:szCs w:val="24"/>
        </w:rPr>
        <w:t xml:space="preserve">Prepared February 28, </w:t>
      </w:r>
      <w:proofErr w:type="gramStart"/>
      <w:r w:rsidRPr="00B90CE5">
        <w:rPr>
          <w:rFonts w:ascii="Times New Roman" w:hAnsi="Times New Roman" w:cs="Times New Roman"/>
          <w:sz w:val="24"/>
          <w:szCs w:val="24"/>
        </w:rPr>
        <w:t>2022</w:t>
      </w:r>
      <w:proofErr w:type="gramEnd"/>
      <w:r w:rsidRPr="00B90CE5">
        <w:rPr>
          <w:rFonts w:ascii="Times New Roman" w:hAnsi="Times New Roman" w:cs="Times New Roman"/>
          <w:sz w:val="24"/>
          <w:szCs w:val="24"/>
        </w:rPr>
        <w:t xml:space="preserve"> by Jens Ulrich</w:t>
      </w:r>
    </w:p>
    <w:p w14:paraId="4493085C" w14:textId="2A963147" w:rsidR="00B90CE5" w:rsidRDefault="00B90CE5" w:rsidP="00970910">
      <w:pPr>
        <w:pStyle w:val="Heading1"/>
      </w:pPr>
      <w:r w:rsidRPr="00B90CE5">
        <w:t xml:space="preserve">Supplemental Table S1 </w:t>
      </w:r>
      <w:r>
        <w:t>–</w:t>
      </w:r>
      <w:r w:rsidRPr="00B90CE5">
        <w:t xml:space="preserve"> Inventory</w:t>
      </w:r>
    </w:p>
    <w:p w14:paraId="2036212B" w14:textId="656CC3C2" w:rsidR="00B90CE5" w:rsidRPr="00205D25" w:rsidRDefault="00B90CE5">
      <w:pPr>
        <w:rPr>
          <w:rFonts w:ascii="Times New Roman" w:hAnsi="Times New Roman" w:cs="Times New Roman"/>
          <w:sz w:val="24"/>
          <w:szCs w:val="24"/>
        </w:rPr>
      </w:pPr>
      <w:r w:rsidRPr="00205D25">
        <w:rPr>
          <w:rFonts w:ascii="Times New Roman" w:hAnsi="Times New Roman" w:cs="Times New Roman"/>
          <w:sz w:val="24"/>
          <w:szCs w:val="24"/>
        </w:rPr>
        <w:t>Format - .csv file</w:t>
      </w:r>
    </w:p>
    <w:p w14:paraId="22A9BE5A" w14:textId="72C391F5" w:rsidR="00B90CE5" w:rsidRPr="00205D25" w:rsidRDefault="00B90CE5">
      <w:pPr>
        <w:rPr>
          <w:rFonts w:ascii="Times New Roman" w:hAnsi="Times New Roman" w:cs="Times New Roman"/>
          <w:sz w:val="24"/>
          <w:szCs w:val="24"/>
        </w:rPr>
      </w:pPr>
      <w:r w:rsidRPr="00205D25">
        <w:rPr>
          <w:rFonts w:ascii="Times New Roman" w:hAnsi="Times New Roman" w:cs="Times New Roman"/>
          <w:sz w:val="24"/>
          <w:szCs w:val="24"/>
        </w:rPr>
        <w:t xml:space="preserve">TAXON – name of the taxon, either a species or infraspecific taxon. For species that include subordinate infraspecific taxa, rows are listed for each taxonomic level. For example, the row TAXON == “Acer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is immediately followed by the row with its subordinate TAXON == “Acer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sidRPr="00205D25">
        <w:rPr>
          <w:rFonts w:ascii="Times New Roman" w:hAnsi="Times New Roman" w:cs="Times New Roman"/>
          <w:sz w:val="24"/>
          <w:szCs w:val="24"/>
        </w:rPr>
        <w:t xml:space="preserve">”. Full scientific name (i.e., name including authorship) is reported in the column </w:t>
      </w:r>
      <w:proofErr w:type="spellStart"/>
      <w:r w:rsidRPr="00205D25">
        <w:rPr>
          <w:rFonts w:ascii="Times New Roman" w:hAnsi="Times New Roman" w:cs="Times New Roman"/>
          <w:sz w:val="24"/>
          <w:szCs w:val="24"/>
        </w:rPr>
        <w:t>scientificName</w:t>
      </w:r>
      <w:proofErr w:type="spellEnd"/>
      <w:r w:rsidRPr="00205D25">
        <w:rPr>
          <w:rFonts w:ascii="Times New Roman" w:hAnsi="Times New Roman" w:cs="Times New Roman"/>
          <w:sz w:val="24"/>
          <w:szCs w:val="24"/>
        </w:rPr>
        <w:t xml:space="preserve"> (e.g., </w:t>
      </w:r>
      <w:proofErr w:type="spellStart"/>
      <w:r w:rsidRPr="00205D25">
        <w:rPr>
          <w:rFonts w:ascii="Times New Roman" w:hAnsi="Times New Roman" w:cs="Times New Roman"/>
          <w:sz w:val="24"/>
          <w:szCs w:val="24"/>
        </w:rPr>
        <w:t>scientificName</w:t>
      </w:r>
      <w:proofErr w:type="spellEnd"/>
      <w:r w:rsidRPr="00205D25">
        <w:rPr>
          <w:rFonts w:ascii="Times New Roman" w:hAnsi="Times New Roman" w:cs="Times New Roman"/>
          <w:sz w:val="24"/>
          <w:szCs w:val="24"/>
        </w:rPr>
        <w:t xml:space="preserve"> == “Acer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sidRPr="00205D25">
        <w:rPr>
          <w:rFonts w:ascii="Times New Roman" w:hAnsi="Times New Roman" w:cs="Times New Roman"/>
          <w:sz w:val="24"/>
          <w:szCs w:val="24"/>
        </w:rPr>
        <w:t xml:space="preserve"> (Hook.) </w:t>
      </w:r>
      <w:proofErr w:type="spellStart"/>
      <w:r w:rsidRPr="00205D25">
        <w:rPr>
          <w:rFonts w:ascii="Times New Roman" w:hAnsi="Times New Roman" w:cs="Times New Roman"/>
          <w:sz w:val="24"/>
          <w:szCs w:val="24"/>
        </w:rPr>
        <w:t>Dippel</w:t>
      </w:r>
      <w:proofErr w:type="spellEnd"/>
      <w:r w:rsidRPr="00205D25">
        <w:rPr>
          <w:rFonts w:ascii="Times New Roman" w:hAnsi="Times New Roman" w:cs="Times New Roman"/>
          <w:sz w:val="24"/>
          <w:szCs w:val="24"/>
        </w:rPr>
        <w:t xml:space="preserve">”). To remove duplicate taxa, the inventory must be sorted by FINEST_TAXON_RESOLUTION == “Y”. Sorting would remove e.g., the row where TAXON == “Acer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but not </w:t>
      </w:r>
      <w:proofErr w:type="spellStart"/>
      <w:r w:rsidRPr="00205D25">
        <w:rPr>
          <w:rFonts w:ascii="Times New Roman" w:hAnsi="Times New Roman" w:cs="Times New Roman"/>
          <w:sz w:val="24"/>
          <w:szCs w:val="24"/>
        </w:rPr>
        <w:t>e.g</w:t>
      </w:r>
      <w:proofErr w:type="spellEnd"/>
      <w:r w:rsidRPr="00205D25">
        <w:rPr>
          <w:rFonts w:ascii="Times New Roman" w:hAnsi="Times New Roman" w:cs="Times New Roman"/>
          <w:sz w:val="24"/>
          <w:szCs w:val="24"/>
        </w:rPr>
        <w:t xml:space="preserve">, the row where </w:t>
      </w:r>
      <w:r w:rsidR="00665289" w:rsidRPr="00205D25">
        <w:rPr>
          <w:rFonts w:ascii="Times New Roman" w:hAnsi="Times New Roman" w:cs="Times New Roman"/>
          <w:sz w:val="24"/>
          <w:szCs w:val="24"/>
        </w:rPr>
        <w:t xml:space="preserve">TAXON == “Acer saccharum” given that Acer saccharum does not include any subordinate infraspecific levels. Such filtering </w:t>
      </w:r>
      <w:r w:rsidR="00665289" w:rsidRPr="00205D25">
        <w:rPr>
          <w:rFonts w:ascii="Times New Roman" w:hAnsi="Times New Roman" w:cs="Times New Roman"/>
          <w:b/>
          <w:bCs/>
          <w:sz w:val="24"/>
          <w:szCs w:val="24"/>
        </w:rPr>
        <w:t xml:space="preserve">must </w:t>
      </w:r>
      <w:r w:rsidR="00665289" w:rsidRPr="00205D25">
        <w:rPr>
          <w:rFonts w:ascii="Times New Roman" w:hAnsi="Times New Roman" w:cs="Times New Roman"/>
          <w:sz w:val="24"/>
          <w:szCs w:val="24"/>
        </w:rPr>
        <w:t xml:space="preserve">be done to reproduce counts of taxa in the paper. I.e., the .csv file includes 935 rows but only 779 taxa, once double-dipped taxa such as Acer </w:t>
      </w:r>
      <w:proofErr w:type="spellStart"/>
      <w:r w:rsidR="00665289" w:rsidRPr="00205D25">
        <w:rPr>
          <w:rFonts w:ascii="Times New Roman" w:hAnsi="Times New Roman" w:cs="Times New Roman"/>
          <w:sz w:val="24"/>
          <w:szCs w:val="24"/>
        </w:rPr>
        <w:t>glabrum</w:t>
      </w:r>
      <w:proofErr w:type="spellEnd"/>
      <w:r w:rsidR="00665289" w:rsidRPr="00205D25">
        <w:rPr>
          <w:rFonts w:ascii="Times New Roman" w:hAnsi="Times New Roman" w:cs="Times New Roman"/>
          <w:sz w:val="24"/>
          <w:szCs w:val="24"/>
        </w:rPr>
        <w:t xml:space="preserve"> and Acer </w:t>
      </w:r>
      <w:proofErr w:type="spellStart"/>
      <w:r w:rsidR="00665289" w:rsidRPr="00205D25">
        <w:rPr>
          <w:rFonts w:ascii="Times New Roman" w:hAnsi="Times New Roman" w:cs="Times New Roman"/>
          <w:sz w:val="24"/>
          <w:szCs w:val="24"/>
        </w:rPr>
        <w:t>glabrum</w:t>
      </w:r>
      <w:proofErr w:type="spellEnd"/>
      <w:r w:rsidR="00665289" w:rsidRPr="00205D25">
        <w:rPr>
          <w:rFonts w:ascii="Times New Roman" w:hAnsi="Times New Roman" w:cs="Times New Roman"/>
          <w:sz w:val="24"/>
          <w:szCs w:val="24"/>
        </w:rPr>
        <w:t xml:space="preserve"> var. </w:t>
      </w:r>
      <w:proofErr w:type="spellStart"/>
      <w:r w:rsidR="00665289" w:rsidRPr="00205D25">
        <w:rPr>
          <w:rFonts w:ascii="Times New Roman" w:hAnsi="Times New Roman" w:cs="Times New Roman"/>
          <w:sz w:val="24"/>
          <w:szCs w:val="24"/>
        </w:rPr>
        <w:t>douglasii</w:t>
      </w:r>
      <w:proofErr w:type="spellEnd"/>
      <w:r w:rsidR="00665289" w:rsidRPr="00205D25">
        <w:rPr>
          <w:rFonts w:ascii="Times New Roman" w:hAnsi="Times New Roman" w:cs="Times New Roman"/>
          <w:sz w:val="24"/>
          <w:szCs w:val="24"/>
        </w:rPr>
        <w:t xml:space="preserve"> are filtered to a single row.</w:t>
      </w:r>
    </w:p>
    <w:p w14:paraId="53C3645B" w14:textId="122E5636" w:rsidR="00665289" w:rsidRDefault="00665289" w:rsidP="00205D25">
      <w:pPr>
        <w:spacing w:after="0" w:line="240" w:lineRule="auto"/>
        <w:rPr>
          <w:rFonts w:ascii="Times New Roman" w:eastAsia="Times New Roman" w:hAnsi="Times New Roman" w:cs="Times New Roman"/>
          <w:color w:val="000000"/>
          <w:sz w:val="24"/>
          <w:szCs w:val="24"/>
          <w:lang w:val="en-CA" w:eastAsia="en-CA"/>
        </w:rPr>
      </w:pPr>
      <w:r w:rsidRPr="00665289">
        <w:rPr>
          <w:rFonts w:ascii="Times New Roman" w:eastAsia="Times New Roman" w:hAnsi="Times New Roman" w:cs="Times New Roman"/>
          <w:color w:val="000000"/>
          <w:sz w:val="24"/>
          <w:szCs w:val="24"/>
          <w:lang w:val="en-CA" w:eastAsia="en-CA"/>
        </w:rPr>
        <w:t>PRIMARY_ASSOCIATED_CROP_COMMON_NAME</w:t>
      </w:r>
      <w:r w:rsidRPr="00205D25">
        <w:rPr>
          <w:rFonts w:ascii="Times New Roman" w:eastAsia="Times New Roman" w:hAnsi="Times New Roman" w:cs="Times New Roman"/>
          <w:color w:val="000000"/>
          <w:sz w:val="24"/>
          <w:szCs w:val="24"/>
          <w:lang w:val="en-CA" w:eastAsia="en-CA"/>
        </w:rPr>
        <w:t xml:space="preserve"> – </w:t>
      </w:r>
      <w:r w:rsidR="00D87D45">
        <w:rPr>
          <w:rFonts w:ascii="Times New Roman" w:eastAsia="Times New Roman" w:hAnsi="Times New Roman" w:cs="Times New Roman"/>
          <w:color w:val="000000"/>
          <w:sz w:val="24"/>
          <w:szCs w:val="24"/>
          <w:lang w:val="en-CA" w:eastAsia="en-CA"/>
        </w:rPr>
        <w:t xml:space="preserve">For those taxa in the </w:t>
      </w:r>
      <w:proofErr w:type="spellStart"/>
      <w:r w:rsidR="00D87D45">
        <w:rPr>
          <w:rFonts w:ascii="Times New Roman" w:eastAsia="Times New Roman" w:hAnsi="Times New Roman" w:cs="Times New Roman"/>
          <w:color w:val="000000"/>
          <w:sz w:val="24"/>
          <w:szCs w:val="24"/>
          <w:lang w:val="en-CA" w:eastAsia="en-CA"/>
        </w:rPr>
        <w:t>genepool</w:t>
      </w:r>
      <w:proofErr w:type="spellEnd"/>
      <w:r w:rsidR="00D87D45">
        <w:rPr>
          <w:rFonts w:ascii="Times New Roman" w:eastAsia="Times New Roman" w:hAnsi="Times New Roman" w:cs="Times New Roman"/>
          <w:color w:val="000000"/>
          <w:sz w:val="24"/>
          <w:szCs w:val="24"/>
          <w:lang w:val="en-CA" w:eastAsia="en-CA"/>
        </w:rPr>
        <w:t xml:space="preserve"> (genus) of agricultural crops of global or national importance (See column “CWR”), </w:t>
      </w:r>
      <w:r w:rsidRPr="00205D25">
        <w:rPr>
          <w:rFonts w:ascii="Times New Roman" w:eastAsia="Times New Roman" w:hAnsi="Times New Roman" w:cs="Times New Roman"/>
          <w:color w:val="000000"/>
          <w:sz w:val="24"/>
          <w:szCs w:val="24"/>
          <w:lang w:val="en-CA" w:eastAsia="en-CA"/>
        </w:rPr>
        <w:t xml:space="preserve">Common name of associated crop, </w:t>
      </w:r>
      <w:proofErr w:type="gramStart"/>
      <w:r w:rsidRPr="00205D25">
        <w:rPr>
          <w:rFonts w:ascii="Times New Roman" w:eastAsia="Times New Roman" w:hAnsi="Times New Roman" w:cs="Times New Roman"/>
          <w:color w:val="000000"/>
          <w:sz w:val="24"/>
          <w:szCs w:val="24"/>
          <w:lang w:val="en-CA" w:eastAsia="en-CA"/>
        </w:rPr>
        <w:t>e.g.</w:t>
      </w:r>
      <w:proofErr w:type="gramEnd"/>
      <w:r w:rsidRPr="00205D25">
        <w:rPr>
          <w:rFonts w:ascii="Times New Roman" w:eastAsia="Times New Roman" w:hAnsi="Times New Roman" w:cs="Times New Roman"/>
          <w:color w:val="000000"/>
          <w:sz w:val="24"/>
          <w:szCs w:val="24"/>
          <w:lang w:val="en-CA" w:eastAsia="en-CA"/>
        </w:rPr>
        <w:t xml:space="preserve"> </w:t>
      </w:r>
      <w:r w:rsidRPr="00205D25">
        <w:rPr>
          <w:rFonts w:ascii="Times New Roman" w:eastAsia="Times New Roman" w:hAnsi="Times New Roman" w:cs="Times New Roman"/>
          <w:i/>
          <w:iCs/>
          <w:color w:val="000000"/>
          <w:sz w:val="24"/>
          <w:szCs w:val="24"/>
          <w:lang w:val="en-CA" w:eastAsia="en-CA"/>
        </w:rPr>
        <w:t xml:space="preserve">Chenopodium </w:t>
      </w:r>
      <w:proofErr w:type="spellStart"/>
      <w:r w:rsidRPr="00205D25">
        <w:rPr>
          <w:rFonts w:ascii="Times New Roman" w:eastAsia="Times New Roman" w:hAnsi="Times New Roman" w:cs="Times New Roman"/>
          <w:i/>
          <w:iCs/>
          <w:color w:val="000000"/>
          <w:sz w:val="24"/>
          <w:szCs w:val="24"/>
          <w:lang w:val="en-CA" w:eastAsia="en-CA"/>
        </w:rPr>
        <w:t>berlandieri</w:t>
      </w:r>
      <w:proofErr w:type="spellEnd"/>
      <w:r w:rsidRPr="00205D25">
        <w:rPr>
          <w:rFonts w:ascii="Times New Roman" w:eastAsia="Times New Roman" w:hAnsi="Times New Roman" w:cs="Times New Roman"/>
          <w:color w:val="000000"/>
          <w:sz w:val="24"/>
          <w:szCs w:val="24"/>
          <w:lang w:val="en-CA" w:eastAsia="en-CA"/>
        </w:rPr>
        <w:t xml:space="preserve"> is related to the crop “Quinoa”. OR for non-crop relatives (i.e., wild-utilized plants that are not also recognized as CWR), e.g., </w:t>
      </w:r>
      <w:r w:rsidRPr="00205D25">
        <w:rPr>
          <w:rFonts w:ascii="Times New Roman" w:eastAsia="Times New Roman" w:hAnsi="Times New Roman" w:cs="Times New Roman"/>
          <w:i/>
          <w:iCs/>
          <w:color w:val="000000"/>
          <w:sz w:val="24"/>
          <w:szCs w:val="24"/>
          <w:lang w:val="en-CA" w:eastAsia="en-CA"/>
        </w:rPr>
        <w:t xml:space="preserve">Mahonia spp. </w:t>
      </w:r>
      <w:r w:rsidRPr="00205D25">
        <w:rPr>
          <w:rFonts w:ascii="Times New Roman" w:eastAsia="Times New Roman" w:hAnsi="Times New Roman" w:cs="Times New Roman"/>
          <w:color w:val="000000"/>
          <w:sz w:val="24"/>
          <w:szCs w:val="24"/>
          <w:lang w:val="en-CA" w:eastAsia="en-CA"/>
        </w:rPr>
        <w:t>are collectively commonly referred to as “Barberry”.</w:t>
      </w:r>
      <w:r w:rsidRPr="00205D25">
        <w:rPr>
          <w:rFonts w:ascii="Times New Roman" w:eastAsia="Times New Roman" w:hAnsi="Times New Roman" w:cs="Times New Roman"/>
          <w:i/>
          <w:iCs/>
          <w:color w:val="000000"/>
          <w:sz w:val="24"/>
          <w:szCs w:val="24"/>
          <w:lang w:val="en-CA" w:eastAsia="en-CA"/>
        </w:rPr>
        <w:t xml:space="preserve"> </w:t>
      </w:r>
    </w:p>
    <w:p w14:paraId="0063EEF8" w14:textId="77777777" w:rsidR="00205D25" w:rsidRPr="00205D25" w:rsidRDefault="00205D25" w:rsidP="00205D25">
      <w:pPr>
        <w:spacing w:after="0" w:line="240" w:lineRule="auto"/>
        <w:rPr>
          <w:rFonts w:ascii="Times New Roman" w:eastAsia="Times New Roman" w:hAnsi="Times New Roman" w:cs="Times New Roman"/>
          <w:color w:val="000000"/>
          <w:sz w:val="24"/>
          <w:szCs w:val="24"/>
          <w:lang w:val="en-CA" w:eastAsia="en-CA"/>
        </w:rPr>
      </w:pPr>
    </w:p>
    <w:p w14:paraId="55214CFE" w14:textId="08D329AB" w:rsidR="00205D25" w:rsidRDefault="00205D25">
      <w:pPr>
        <w:rPr>
          <w:rFonts w:ascii="Times New Roman" w:hAnsi="Times New Roman" w:cs="Times New Roman"/>
          <w:sz w:val="24"/>
          <w:szCs w:val="24"/>
        </w:rPr>
      </w:pPr>
      <w:r w:rsidRPr="00205D25">
        <w:rPr>
          <w:rFonts w:ascii="Times New Roman" w:hAnsi="Times New Roman" w:cs="Times New Roman"/>
          <w:sz w:val="24"/>
          <w:szCs w:val="24"/>
        </w:rPr>
        <w:t>SECONDARY_ASSOCIATED_CROP_COMMON_NAME</w:t>
      </w:r>
      <w:r>
        <w:rPr>
          <w:rFonts w:ascii="Times New Roman" w:hAnsi="Times New Roman" w:cs="Times New Roman"/>
          <w:sz w:val="24"/>
          <w:szCs w:val="24"/>
        </w:rPr>
        <w:t xml:space="preserve"> – In select cases, we list the name of a secondary crop relationship. Canada’s CWR diversity includes several CWR from the genus </w:t>
      </w:r>
      <w:r w:rsidRPr="00205D25">
        <w:rPr>
          <w:rFonts w:ascii="Times New Roman" w:hAnsi="Times New Roman" w:cs="Times New Roman"/>
          <w:i/>
          <w:iCs/>
          <w:sz w:val="24"/>
          <w:szCs w:val="24"/>
        </w:rPr>
        <w:t>Helianthus</w:t>
      </w:r>
      <w:r>
        <w:rPr>
          <w:rFonts w:ascii="Times New Roman" w:hAnsi="Times New Roman" w:cs="Times New Roman"/>
          <w:sz w:val="24"/>
          <w:szCs w:val="24"/>
        </w:rPr>
        <w:t xml:space="preserve"> which are relatives of both Sunflower and Jerusalem-artichoke. For the species that are closely related to Jerusalem-artichoke (and the relationship status given in the column GENEPOOL refers to this relationship) we provide the name of this more closely allied species. Similar for CWR from the genus </w:t>
      </w:r>
      <w:r>
        <w:rPr>
          <w:rFonts w:ascii="Times New Roman" w:hAnsi="Times New Roman" w:cs="Times New Roman"/>
          <w:i/>
          <w:iCs/>
          <w:sz w:val="24"/>
          <w:szCs w:val="24"/>
        </w:rPr>
        <w:t xml:space="preserve">Vaccinium </w:t>
      </w:r>
      <w:r>
        <w:rPr>
          <w:rFonts w:ascii="Times New Roman" w:hAnsi="Times New Roman" w:cs="Times New Roman"/>
          <w:sz w:val="24"/>
          <w:szCs w:val="24"/>
        </w:rPr>
        <w:t xml:space="preserve">that are more closely related to cranberry versus the various blueberry crop species, we list the associated crop name of cranberry here to convey that the close </w:t>
      </w:r>
      <w:proofErr w:type="spellStart"/>
      <w:r>
        <w:rPr>
          <w:rFonts w:ascii="Times New Roman" w:hAnsi="Times New Roman" w:cs="Times New Roman"/>
          <w:sz w:val="24"/>
          <w:szCs w:val="24"/>
        </w:rPr>
        <w:t>genepool</w:t>
      </w:r>
      <w:proofErr w:type="spellEnd"/>
      <w:r>
        <w:rPr>
          <w:rFonts w:ascii="Times New Roman" w:hAnsi="Times New Roman" w:cs="Times New Roman"/>
          <w:sz w:val="24"/>
          <w:szCs w:val="24"/>
        </w:rPr>
        <w:t xml:space="preserve"> status is specific to its relationship to cranberry and not to </w:t>
      </w:r>
      <w:r w:rsidR="00485AA8">
        <w:rPr>
          <w:rFonts w:ascii="Times New Roman" w:hAnsi="Times New Roman" w:cs="Times New Roman"/>
          <w:sz w:val="24"/>
          <w:szCs w:val="24"/>
        </w:rPr>
        <w:t xml:space="preserve">highbush/lowbush/rabbits eye </w:t>
      </w:r>
      <w:r>
        <w:rPr>
          <w:rFonts w:ascii="Times New Roman" w:hAnsi="Times New Roman" w:cs="Times New Roman"/>
          <w:sz w:val="24"/>
          <w:szCs w:val="24"/>
        </w:rPr>
        <w:t>blueberry</w:t>
      </w:r>
      <w:r w:rsidR="00485AA8">
        <w:rPr>
          <w:rFonts w:ascii="Times New Roman" w:hAnsi="Times New Roman" w:cs="Times New Roman"/>
          <w:sz w:val="24"/>
          <w:szCs w:val="24"/>
        </w:rPr>
        <w:t>.</w:t>
      </w:r>
    </w:p>
    <w:p w14:paraId="27F22C9C" w14:textId="3E674261" w:rsidR="007351CA" w:rsidRDefault="007351CA">
      <w:pPr>
        <w:rPr>
          <w:rFonts w:ascii="Times New Roman" w:hAnsi="Times New Roman" w:cs="Times New Roman"/>
          <w:sz w:val="24"/>
          <w:szCs w:val="24"/>
        </w:rPr>
      </w:pPr>
      <w:r>
        <w:rPr>
          <w:rFonts w:ascii="Times New Roman" w:hAnsi="Times New Roman" w:cs="Times New Roman"/>
          <w:sz w:val="24"/>
          <w:szCs w:val="24"/>
        </w:rPr>
        <w:t>GENUS – genus name</w:t>
      </w:r>
    </w:p>
    <w:p w14:paraId="1A6A4B06" w14:textId="7B07FC06" w:rsidR="007351CA" w:rsidRDefault="007351CA">
      <w:pPr>
        <w:rPr>
          <w:rFonts w:ascii="Times New Roman" w:hAnsi="Times New Roman" w:cs="Times New Roman"/>
          <w:sz w:val="24"/>
          <w:szCs w:val="24"/>
        </w:rPr>
      </w:pPr>
      <w:r>
        <w:rPr>
          <w:rFonts w:ascii="Times New Roman" w:hAnsi="Times New Roman" w:cs="Times New Roman"/>
          <w:sz w:val="24"/>
          <w:szCs w:val="24"/>
        </w:rPr>
        <w:lastRenderedPageBreak/>
        <w:t>SPECIES – species name; infraspecific taxa from the same species are united through shared values in this column.</w:t>
      </w:r>
    </w:p>
    <w:p w14:paraId="7C5C6C16" w14:textId="73AAFAEB" w:rsidR="007351CA" w:rsidRDefault="007351CA">
      <w:pPr>
        <w:rPr>
          <w:rFonts w:ascii="Times New Roman" w:hAnsi="Times New Roman" w:cs="Times New Roman"/>
          <w:sz w:val="24"/>
          <w:szCs w:val="24"/>
        </w:rPr>
      </w:pPr>
      <w:r>
        <w:rPr>
          <w:rFonts w:ascii="Times New Roman" w:hAnsi="Times New Roman" w:cs="Times New Roman"/>
          <w:sz w:val="24"/>
          <w:szCs w:val="24"/>
        </w:rPr>
        <w:t xml:space="preserve">RANK – if row is for an infraspecific taxon, rank specifies the designation for the unit, either var. (variety) or subsp. (subspecies),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for “</w:t>
      </w:r>
      <w:r w:rsidRPr="00205D25">
        <w:rPr>
          <w:rFonts w:ascii="Times New Roman" w:hAnsi="Times New Roman" w:cs="Times New Roman"/>
          <w:sz w:val="24"/>
          <w:szCs w:val="24"/>
        </w:rPr>
        <w:t xml:space="preserve">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Pr>
          <w:rFonts w:ascii="Times New Roman" w:hAnsi="Times New Roman" w:cs="Times New Roman"/>
          <w:sz w:val="24"/>
          <w:szCs w:val="24"/>
        </w:rPr>
        <w:t>”, RANK == “var.”</w:t>
      </w:r>
    </w:p>
    <w:p w14:paraId="460DEC89" w14:textId="5D66D1E8" w:rsidR="007351CA" w:rsidRDefault="007351CA" w:rsidP="007351CA">
      <w:pPr>
        <w:rPr>
          <w:rFonts w:ascii="Times New Roman" w:hAnsi="Times New Roman" w:cs="Times New Roman"/>
          <w:sz w:val="24"/>
          <w:szCs w:val="24"/>
        </w:rPr>
      </w:pPr>
      <w:r>
        <w:rPr>
          <w:rFonts w:ascii="Times New Roman" w:hAnsi="Times New Roman" w:cs="Times New Roman"/>
          <w:sz w:val="24"/>
          <w:szCs w:val="24"/>
        </w:rPr>
        <w:t xml:space="preserve">INFRASPECIFIC – the infraspecific epithet,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for “</w:t>
      </w:r>
      <w:r w:rsidRPr="00205D25">
        <w:rPr>
          <w:rFonts w:ascii="Times New Roman" w:hAnsi="Times New Roman" w:cs="Times New Roman"/>
          <w:sz w:val="24"/>
          <w:szCs w:val="24"/>
        </w:rPr>
        <w:t xml:space="preserve">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Pr>
          <w:rFonts w:ascii="Times New Roman" w:hAnsi="Times New Roman" w:cs="Times New Roman"/>
          <w:sz w:val="24"/>
          <w:szCs w:val="24"/>
        </w:rPr>
        <w:t>”, INFRASPECIFIC == “</w:t>
      </w:r>
      <w:proofErr w:type="spellStart"/>
      <w:r>
        <w:rPr>
          <w:rFonts w:ascii="Times New Roman" w:hAnsi="Times New Roman" w:cs="Times New Roman"/>
          <w:sz w:val="24"/>
          <w:szCs w:val="24"/>
        </w:rPr>
        <w:t>douglasii</w:t>
      </w:r>
      <w:proofErr w:type="spellEnd"/>
      <w:r>
        <w:rPr>
          <w:rFonts w:ascii="Times New Roman" w:hAnsi="Times New Roman" w:cs="Times New Roman"/>
          <w:sz w:val="24"/>
          <w:szCs w:val="24"/>
        </w:rPr>
        <w:t>”</w:t>
      </w:r>
    </w:p>
    <w:p w14:paraId="4C8F983B" w14:textId="350DF446" w:rsidR="007351CA" w:rsidRDefault="007351CA" w:rsidP="007351CA">
      <w:pPr>
        <w:rPr>
          <w:rFonts w:ascii="Times New Roman" w:hAnsi="Times New Roman" w:cs="Times New Roman"/>
          <w:sz w:val="24"/>
          <w:szCs w:val="24"/>
        </w:rPr>
      </w:pPr>
      <w:proofErr w:type="spellStart"/>
      <w:r w:rsidRPr="007351CA">
        <w:rPr>
          <w:rFonts w:ascii="Times New Roman" w:hAnsi="Times New Roman" w:cs="Times New Roman"/>
          <w:sz w:val="24"/>
          <w:szCs w:val="24"/>
        </w:rPr>
        <w:t>scientificName</w:t>
      </w:r>
      <w:proofErr w:type="spellEnd"/>
      <w:r>
        <w:rPr>
          <w:rFonts w:ascii="Times New Roman" w:hAnsi="Times New Roman" w:cs="Times New Roman"/>
          <w:sz w:val="24"/>
          <w:szCs w:val="24"/>
        </w:rPr>
        <w:t xml:space="preserve"> – full scientific name of the taxon including authorship</w:t>
      </w:r>
    </w:p>
    <w:p w14:paraId="5AD69590" w14:textId="61D7F418" w:rsidR="007351CA" w:rsidRPr="001B372B" w:rsidRDefault="000B22FE" w:rsidP="007351CA">
      <w:pPr>
        <w:rPr>
          <w:rFonts w:ascii="Times New Roman" w:hAnsi="Times New Roman" w:cs="Times New Roman"/>
          <w:sz w:val="24"/>
          <w:szCs w:val="24"/>
        </w:rPr>
      </w:pPr>
      <w:r w:rsidRPr="000B22FE">
        <w:rPr>
          <w:rFonts w:ascii="Times New Roman" w:hAnsi="Times New Roman" w:cs="Times New Roman"/>
          <w:sz w:val="24"/>
          <w:szCs w:val="24"/>
        </w:rPr>
        <w:t>INFRASPECIFIC_COLLECTIONS_ASSIGNED</w:t>
      </w:r>
      <w:r>
        <w:rPr>
          <w:rFonts w:ascii="Times New Roman" w:hAnsi="Times New Roman" w:cs="Times New Roman"/>
          <w:sz w:val="24"/>
          <w:szCs w:val="24"/>
        </w:rPr>
        <w:t xml:space="preserve"> – Generally, infraspecific identifications for accessions are either not assigned OR we are not confident that they are assigned with accuracy by expert taxonomist. If “Y” we had manually assigned infraspecific taxon names to all accessions within the species (collected from within Canada). We only did so if either a) only 1 infraspecific taxon exists within Canada and thus couldn’t be confused or b) if infraspecific taxa </w:t>
      </w:r>
      <w:r w:rsidRPr="001B372B">
        <w:rPr>
          <w:rFonts w:ascii="Times New Roman" w:hAnsi="Times New Roman" w:cs="Times New Roman"/>
          <w:sz w:val="24"/>
          <w:szCs w:val="24"/>
        </w:rPr>
        <w:t xml:space="preserve">are geographically isolated and therefore there is little chance of mistaking the identifications. If “N” no infraspecific taxon names are given to accessions within the species, all accessions are labelled </w:t>
      </w:r>
      <w:r w:rsidR="00D866C3" w:rsidRPr="001B372B">
        <w:rPr>
          <w:rFonts w:ascii="Times New Roman" w:hAnsi="Times New Roman" w:cs="Times New Roman"/>
          <w:sz w:val="24"/>
          <w:szCs w:val="24"/>
        </w:rPr>
        <w:t>at the</w:t>
      </w:r>
      <w:r w:rsidRPr="001B372B">
        <w:rPr>
          <w:rFonts w:ascii="Times New Roman" w:hAnsi="Times New Roman" w:cs="Times New Roman"/>
          <w:sz w:val="24"/>
          <w:szCs w:val="24"/>
        </w:rPr>
        <w:t xml:space="preserve"> species only. </w:t>
      </w:r>
      <w:r w:rsidR="00D866C3" w:rsidRPr="001B372B">
        <w:rPr>
          <w:rFonts w:ascii="Times New Roman" w:hAnsi="Times New Roman" w:cs="Times New Roman"/>
          <w:sz w:val="24"/>
          <w:szCs w:val="24"/>
        </w:rPr>
        <w:t xml:space="preserve">If </w:t>
      </w:r>
      <w:r w:rsidRPr="001B372B">
        <w:rPr>
          <w:rFonts w:ascii="Times New Roman" w:hAnsi="Times New Roman" w:cs="Times New Roman"/>
          <w:sz w:val="24"/>
          <w:szCs w:val="24"/>
        </w:rPr>
        <w:t>blank/</w:t>
      </w:r>
      <w:proofErr w:type="gramStart"/>
      <w:r w:rsidRPr="001B372B">
        <w:rPr>
          <w:rFonts w:ascii="Times New Roman" w:hAnsi="Times New Roman" w:cs="Times New Roman"/>
          <w:sz w:val="24"/>
          <w:szCs w:val="24"/>
        </w:rPr>
        <w:t>NA</w:t>
      </w:r>
      <w:proofErr w:type="gramEnd"/>
      <w:r w:rsidRPr="001B372B">
        <w:rPr>
          <w:rFonts w:ascii="Times New Roman" w:hAnsi="Times New Roman" w:cs="Times New Roman"/>
          <w:sz w:val="24"/>
          <w:szCs w:val="24"/>
        </w:rPr>
        <w:t xml:space="preserve"> the taxon is a species with no subordinate taxa</w:t>
      </w:r>
      <w:r w:rsidR="001B372B" w:rsidRPr="001B372B">
        <w:rPr>
          <w:rFonts w:ascii="Times New Roman" w:hAnsi="Times New Roman" w:cs="Times New Roman"/>
          <w:sz w:val="24"/>
          <w:szCs w:val="24"/>
        </w:rPr>
        <w:t>.</w:t>
      </w:r>
    </w:p>
    <w:p w14:paraId="28713EB2" w14:textId="416A89CB" w:rsidR="001B372B" w:rsidRPr="001B372B" w:rsidRDefault="001B372B" w:rsidP="001B372B">
      <w:pPr>
        <w:spacing w:line="240" w:lineRule="auto"/>
        <w:rPr>
          <w:rFonts w:ascii="Times New Roman" w:eastAsia="Times New Roman" w:hAnsi="Times New Roman" w:cs="Times New Roman"/>
          <w:color w:val="000000"/>
          <w:sz w:val="24"/>
          <w:szCs w:val="24"/>
          <w:lang w:val="en-CA" w:eastAsia="en-CA"/>
        </w:rPr>
      </w:pPr>
      <w:r w:rsidRPr="001B372B">
        <w:rPr>
          <w:rFonts w:ascii="Times New Roman" w:eastAsia="Times New Roman" w:hAnsi="Times New Roman" w:cs="Times New Roman"/>
          <w:color w:val="000000"/>
          <w:sz w:val="24"/>
          <w:szCs w:val="24"/>
          <w:lang w:val="en-CA" w:eastAsia="en-CA"/>
        </w:rPr>
        <w:t xml:space="preserve">FINEST_TAXON_RESOLUTION – Use this column as a way to filter out double-dipped taxa – </w:t>
      </w:r>
      <w:proofErr w:type="gramStart"/>
      <w:r w:rsidRPr="001B372B">
        <w:rPr>
          <w:rFonts w:ascii="Times New Roman" w:eastAsia="Times New Roman" w:hAnsi="Times New Roman" w:cs="Times New Roman"/>
          <w:color w:val="000000"/>
          <w:sz w:val="24"/>
          <w:szCs w:val="24"/>
          <w:lang w:val="en-CA" w:eastAsia="en-CA"/>
        </w:rPr>
        <w:t>e.g.</w:t>
      </w:r>
      <w:proofErr w:type="gramEnd"/>
      <w:r w:rsidRPr="001B372B">
        <w:rPr>
          <w:rFonts w:ascii="Times New Roman" w:eastAsia="Times New Roman" w:hAnsi="Times New Roman" w:cs="Times New Roman"/>
          <w:color w:val="000000"/>
          <w:sz w:val="24"/>
          <w:szCs w:val="24"/>
          <w:lang w:val="en-CA" w:eastAsia="en-CA"/>
        </w:rPr>
        <w:t xml:space="preserve"> don’t want to count both </w:t>
      </w:r>
      <w:r w:rsidRPr="001B372B">
        <w:rPr>
          <w:rFonts w:ascii="Times New Roman" w:hAnsi="Times New Roman" w:cs="Times New Roman"/>
          <w:sz w:val="24"/>
          <w:szCs w:val="24"/>
        </w:rPr>
        <w:t xml:space="preserve">Acer </w:t>
      </w:r>
      <w:proofErr w:type="spellStart"/>
      <w:r w:rsidRPr="001B372B">
        <w:rPr>
          <w:rFonts w:ascii="Times New Roman" w:hAnsi="Times New Roman" w:cs="Times New Roman"/>
          <w:sz w:val="24"/>
          <w:szCs w:val="24"/>
        </w:rPr>
        <w:t>glabrum</w:t>
      </w:r>
      <w:proofErr w:type="spellEnd"/>
      <w:r w:rsidRPr="001B372B">
        <w:rPr>
          <w:rFonts w:ascii="Times New Roman" w:hAnsi="Times New Roman" w:cs="Times New Roman"/>
          <w:sz w:val="24"/>
          <w:szCs w:val="24"/>
        </w:rPr>
        <w:t xml:space="preserve"> and Acer </w:t>
      </w:r>
      <w:proofErr w:type="spellStart"/>
      <w:r w:rsidRPr="001B372B">
        <w:rPr>
          <w:rFonts w:ascii="Times New Roman" w:hAnsi="Times New Roman" w:cs="Times New Roman"/>
          <w:sz w:val="24"/>
          <w:szCs w:val="24"/>
        </w:rPr>
        <w:t>glabrum</w:t>
      </w:r>
      <w:proofErr w:type="spellEnd"/>
      <w:r w:rsidRPr="001B372B">
        <w:rPr>
          <w:rFonts w:ascii="Times New Roman" w:hAnsi="Times New Roman" w:cs="Times New Roman"/>
          <w:sz w:val="24"/>
          <w:szCs w:val="24"/>
        </w:rPr>
        <w:t xml:space="preserve"> var. </w:t>
      </w:r>
      <w:proofErr w:type="spellStart"/>
      <w:r w:rsidRPr="001B372B">
        <w:rPr>
          <w:rFonts w:ascii="Times New Roman" w:hAnsi="Times New Roman" w:cs="Times New Roman"/>
          <w:sz w:val="24"/>
          <w:szCs w:val="24"/>
        </w:rPr>
        <w:t>douglasii</w:t>
      </w:r>
      <w:proofErr w:type="spellEnd"/>
      <w:r w:rsidRPr="001B372B">
        <w:rPr>
          <w:rFonts w:ascii="Times New Roman" w:hAnsi="Times New Roman" w:cs="Times New Roman"/>
          <w:sz w:val="24"/>
          <w:szCs w:val="24"/>
        </w:rPr>
        <w:t xml:space="preserve"> if a count of the number of relatives of sugar maple is desired. In this case we would only want these two taxon levels to count as a single CWR of sugar maple.</w:t>
      </w:r>
    </w:p>
    <w:p w14:paraId="615BED04" w14:textId="651D80C6" w:rsidR="001B372B" w:rsidRDefault="001B372B" w:rsidP="001B372B">
      <w:pPr>
        <w:spacing w:line="240" w:lineRule="auto"/>
        <w:rPr>
          <w:rFonts w:ascii="Times New Roman" w:eastAsia="Times New Roman" w:hAnsi="Times New Roman" w:cs="Times New Roman"/>
          <w:color w:val="000000"/>
          <w:sz w:val="24"/>
          <w:szCs w:val="24"/>
          <w:lang w:val="en-CA" w:eastAsia="en-CA"/>
        </w:rPr>
      </w:pPr>
      <w:r w:rsidRPr="001B372B">
        <w:rPr>
          <w:rFonts w:ascii="Times New Roman" w:eastAsia="Times New Roman" w:hAnsi="Times New Roman" w:cs="Times New Roman"/>
          <w:color w:val="000000"/>
          <w:sz w:val="24"/>
          <w:szCs w:val="24"/>
          <w:lang w:val="en-CA" w:eastAsia="en-CA"/>
        </w:rPr>
        <w:t xml:space="preserve">CWR – If “Y” taxon is a crop wild relative (CWR). We only scored as crop wild relatives if the species is drawn from a genus with a crop listed in the GRIN – crop wild relative database. We expanded the definition to include 3 genera as food crops due to national importance in Canada that are not included in the GRIN list: saskatoon, flax, and sugar maple. All species in these genera are therefore also scored as CWR. We also listed as CWR any taxa that are cultivated forest resources, ornamentals, or forage and feed crops (or in a genus with a species that is one of these). Species that are </w:t>
      </w:r>
      <w:proofErr w:type="gramStart"/>
      <w:r w:rsidRPr="001B372B">
        <w:rPr>
          <w:rFonts w:ascii="Times New Roman" w:eastAsia="Times New Roman" w:hAnsi="Times New Roman" w:cs="Times New Roman"/>
          <w:color w:val="000000"/>
          <w:sz w:val="24"/>
          <w:szCs w:val="24"/>
          <w:lang w:val="en-CA" w:eastAsia="en-CA"/>
        </w:rPr>
        <w:t>wild-utilized</w:t>
      </w:r>
      <w:proofErr w:type="gramEnd"/>
      <w:r w:rsidRPr="001B372B">
        <w:rPr>
          <w:rFonts w:ascii="Times New Roman" w:eastAsia="Times New Roman" w:hAnsi="Times New Roman" w:cs="Times New Roman"/>
          <w:color w:val="000000"/>
          <w:sz w:val="24"/>
          <w:szCs w:val="24"/>
          <w:lang w:val="en-CA" w:eastAsia="en-CA"/>
        </w:rPr>
        <w:t xml:space="preserve"> but not cultivated on any economic scale are not scored as CWR.</w:t>
      </w:r>
    </w:p>
    <w:p w14:paraId="37E20685" w14:textId="1FBBC07D" w:rsidR="001B372B" w:rsidRDefault="001B372B" w:rsidP="001B372B">
      <w:pPr>
        <w:spacing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WUS – if “Y” taxon is a wild-utilized species. Not mutually exclusive with the CWR designation.</w:t>
      </w:r>
    </w:p>
    <w:p w14:paraId="189ED00E" w14:textId="394014F7" w:rsidR="00B90CE5" w:rsidRDefault="00E9707F" w:rsidP="00E9707F">
      <w:pPr>
        <w:spacing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NATIVE – native or naturalized with established populations in Canada, according to the </w:t>
      </w:r>
      <w:proofErr w:type="spellStart"/>
      <w:r>
        <w:rPr>
          <w:rFonts w:ascii="Times New Roman" w:eastAsia="Times New Roman" w:hAnsi="Times New Roman" w:cs="Times New Roman"/>
          <w:color w:val="000000"/>
          <w:sz w:val="24"/>
          <w:szCs w:val="24"/>
          <w:lang w:val="en-CA" w:eastAsia="en-CA"/>
        </w:rPr>
        <w:t>Canadensys</w:t>
      </w:r>
      <w:proofErr w:type="spellEnd"/>
      <w:r>
        <w:rPr>
          <w:rFonts w:ascii="Times New Roman" w:eastAsia="Times New Roman" w:hAnsi="Times New Roman" w:cs="Times New Roman"/>
          <w:color w:val="000000"/>
          <w:sz w:val="24"/>
          <w:szCs w:val="24"/>
          <w:lang w:val="en-CA" w:eastAsia="en-CA"/>
        </w:rPr>
        <w:t xml:space="preserve"> database of vascular plants of Canada </w:t>
      </w:r>
      <w:hyperlink r:id="rId4" w:history="1">
        <w:r w:rsidRPr="008E0FE1">
          <w:rPr>
            <w:rStyle w:val="Hyperlink"/>
            <w:rFonts w:ascii="Times New Roman" w:eastAsia="Times New Roman" w:hAnsi="Times New Roman" w:cs="Times New Roman"/>
            <w:sz w:val="24"/>
            <w:szCs w:val="24"/>
            <w:lang w:val="en-CA" w:eastAsia="en-CA"/>
          </w:rPr>
          <w:t>https://community.canadensys.net/</w:t>
        </w:r>
      </w:hyperlink>
      <w:r>
        <w:rPr>
          <w:rFonts w:ascii="Times New Roman" w:eastAsia="Times New Roman" w:hAnsi="Times New Roman" w:cs="Times New Roman"/>
          <w:color w:val="000000"/>
          <w:sz w:val="24"/>
          <w:szCs w:val="24"/>
          <w:lang w:val="en-CA" w:eastAsia="en-CA"/>
        </w:rPr>
        <w:t xml:space="preserve"> </w:t>
      </w:r>
    </w:p>
    <w:p w14:paraId="4A619B48" w14:textId="26597919" w:rsid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PRIMARY_ASSOCIATED_CROP_TYPE_GENERAL_1</w:t>
      </w:r>
      <w:r>
        <w:rPr>
          <w:rFonts w:ascii="Times New Roman" w:hAnsi="Times New Roman" w:cs="Times New Roman"/>
          <w:sz w:val="24"/>
          <w:szCs w:val="24"/>
        </w:rPr>
        <w:t xml:space="preserve"> – The category of CWR or WUS use.</w:t>
      </w:r>
    </w:p>
    <w:p w14:paraId="51877C9D" w14:textId="6AA02853" w:rsid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PRIMARY_ASSOCIATED_CROP_TYPE_GENERAL_2</w:t>
      </w:r>
      <w:r>
        <w:rPr>
          <w:rFonts w:ascii="Times New Roman" w:hAnsi="Times New Roman" w:cs="Times New Roman"/>
          <w:sz w:val="24"/>
          <w:szCs w:val="24"/>
        </w:rPr>
        <w:t xml:space="preserve"> – Alternate category of CWR or WUS use.</w:t>
      </w:r>
    </w:p>
    <w:p w14:paraId="1D37DD4F" w14:textId="164B011B" w:rsid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PRIMARY_CROP_OR_WUS_USE_SPECIFIC_1</w:t>
      </w:r>
      <w:r>
        <w:rPr>
          <w:rFonts w:ascii="Times New Roman" w:hAnsi="Times New Roman" w:cs="Times New Roman"/>
          <w:sz w:val="24"/>
          <w:szCs w:val="24"/>
        </w:rPr>
        <w:t xml:space="preserve"> – The subcategory if a food crop relative OR if not a food crop relative == </w:t>
      </w:r>
      <w:r w:rsidRPr="00E9707F">
        <w:rPr>
          <w:rFonts w:ascii="Times New Roman" w:hAnsi="Times New Roman" w:cs="Times New Roman"/>
          <w:sz w:val="24"/>
          <w:szCs w:val="24"/>
        </w:rPr>
        <w:t>PRIMARY_ASSOCIATED_CROP_TYPE_GENERAL_1</w:t>
      </w:r>
      <w:r>
        <w:rPr>
          <w:rFonts w:ascii="Times New Roman" w:hAnsi="Times New Roman" w:cs="Times New Roman"/>
          <w:sz w:val="24"/>
          <w:szCs w:val="24"/>
        </w:rPr>
        <w:t>.</w:t>
      </w:r>
    </w:p>
    <w:p w14:paraId="5676305D" w14:textId="57C7C4CE" w:rsidR="00E9707F" w:rsidRP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lastRenderedPageBreak/>
        <w:t>PRIMARY_CROP_OR_WUS_USE_SPECIFIC_2</w:t>
      </w:r>
      <w:r>
        <w:rPr>
          <w:rFonts w:ascii="Times New Roman" w:hAnsi="Times New Roman" w:cs="Times New Roman"/>
          <w:sz w:val="24"/>
          <w:szCs w:val="24"/>
        </w:rPr>
        <w:t xml:space="preserve"> – Alternate specific use. E.g., some plants such as </w:t>
      </w:r>
      <w:r>
        <w:rPr>
          <w:rFonts w:ascii="Times New Roman" w:hAnsi="Times New Roman" w:cs="Times New Roman"/>
          <w:i/>
          <w:iCs/>
          <w:sz w:val="24"/>
          <w:szCs w:val="24"/>
        </w:rPr>
        <w:t xml:space="preserve">Crataegus spp. </w:t>
      </w:r>
      <w:r>
        <w:rPr>
          <w:rFonts w:ascii="Times New Roman" w:hAnsi="Times New Roman" w:cs="Times New Roman"/>
          <w:sz w:val="24"/>
          <w:szCs w:val="24"/>
        </w:rPr>
        <w:t>produce edible berry fruits but are also forest genetic resources.</w:t>
      </w:r>
    </w:p>
    <w:p w14:paraId="44B1917C" w14:textId="77777777" w:rsidR="000B0679" w:rsidRPr="00E9707F" w:rsidRDefault="00E9707F" w:rsidP="000B0679">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PRIMARY_CROP_OR_WUS_USE_SPECIFIC_</w:t>
      </w:r>
      <w:r>
        <w:rPr>
          <w:rFonts w:ascii="Times New Roman" w:hAnsi="Times New Roman" w:cs="Times New Roman"/>
          <w:sz w:val="24"/>
          <w:szCs w:val="24"/>
        </w:rPr>
        <w:t xml:space="preserve">3 - </w:t>
      </w:r>
      <w:r w:rsidR="000B0679">
        <w:rPr>
          <w:rFonts w:ascii="Times New Roman" w:hAnsi="Times New Roman" w:cs="Times New Roman"/>
          <w:sz w:val="24"/>
          <w:szCs w:val="24"/>
        </w:rPr>
        <w:t xml:space="preserve">Alternate specific use. E.g., some plants such as </w:t>
      </w:r>
      <w:r w:rsidR="000B0679">
        <w:rPr>
          <w:rFonts w:ascii="Times New Roman" w:hAnsi="Times New Roman" w:cs="Times New Roman"/>
          <w:i/>
          <w:iCs/>
          <w:sz w:val="24"/>
          <w:szCs w:val="24"/>
        </w:rPr>
        <w:t xml:space="preserve">Crataegus spp. </w:t>
      </w:r>
      <w:r w:rsidR="000B0679">
        <w:rPr>
          <w:rFonts w:ascii="Times New Roman" w:hAnsi="Times New Roman" w:cs="Times New Roman"/>
          <w:sz w:val="24"/>
          <w:szCs w:val="24"/>
        </w:rPr>
        <w:t>produce edible berry fruits but are also forest genetic resources.</w:t>
      </w:r>
    </w:p>
    <w:p w14:paraId="3C8A77AD" w14:textId="6C9C9007" w:rsidR="00E9707F"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TIER – if a food crop relative == 1; if other type of crop wild relative (not directly related to food crop and food crop security) == 2; if a WUS that is not also a CWR, == NA</w:t>
      </w:r>
    </w:p>
    <w:p w14:paraId="4D4E45D1" w14:textId="2E4EF7AC"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GENEPOOL – genetic distance to a crop species, following the classification scheme of Harlan &amp; de Wet 1971. A = primary relative/progenitor/crop species, B = secondary relative, C = distant relative or unknown genetic distance. </w:t>
      </w:r>
    </w:p>
    <w:p w14:paraId="26804453" w14:textId="27394E3F"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CATEGORY – Prioritization based on breeding utility. == TIER + GENEPOOL </w:t>
      </w:r>
      <w:r>
        <w:rPr>
          <w:rFonts w:ascii="Times New Roman" w:hAnsi="Times New Roman" w:cs="Times New Roman"/>
          <w:b/>
          <w:bCs/>
          <w:sz w:val="24"/>
          <w:szCs w:val="24"/>
        </w:rPr>
        <w:t xml:space="preserve">except </w:t>
      </w:r>
      <w:r>
        <w:rPr>
          <w:rFonts w:ascii="Times New Roman" w:hAnsi="Times New Roman" w:cs="Times New Roman"/>
          <w:sz w:val="24"/>
          <w:szCs w:val="24"/>
        </w:rPr>
        <w:t xml:space="preserve">when taxon has value as </w:t>
      </w:r>
      <w:proofErr w:type="spellStart"/>
      <w:r>
        <w:rPr>
          <w:rFonts w:ascii="Times New Roman" w:hAnsi="Times New Roman" w:cs="Times New Roman"/>
          <w:sz w:val="24"/>
          <w:szCs w:val="24"/>
        </w:rPr>
        <w:t>graftstock</w:t>
      </w:r>
      <w:proofErr w:type="spellEnd"/>
      <w:r>
        <w:rPr>
          <w:rFonts w:ascii="Times New Roman" w:hAnsi="Times New Roman" w:cs="Times New Roman"/>
          <w:sz w:val="24"/>
          <w:szCs w:val="24"/>
        </w:rPr>
        <w:t xml:space="preserve">, the GENEPOOL score is overridden and the prioritization category is assigned to highest value, 1A. Tier 2 CWR do not follow the same </w:t>
      </w:r>
      <w:proofErr w:type="spellStart"/>
      <w:r>
        <w:rPr>
          <w:rFonts w:ascii="Times New Roman" w:hAnsi="Times New Roman" w:cs="Times New Roman"/>
          <w:sz w:val="24"/>
          <w:szCs w:val="24"/>
        </w:rPr>
        <w:t>genepool</w:t>
      </w:r>
      <w:proofErr w:type="spellEnd"/>
      <w:r>
        <w:rPr>
          <w:rFonts w:ascii="Times New Roman" w:hAnsi="Times New Roman" w:cs="Times New Roman"/>
          <w:sz w:val="24"/>
          <w:szCs w:val="24"/>
        </w:rPr>
        <w:t xml:space="preserve"> scheme (generally there is no single target crop,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for the genus Pinus – most species are utilized as forest resources) and are all assigned category == 2. WUS are not differentiated by category.</w:t>
      </w:r>
    </w:p>
    <w:p w14:paraId="5C7B8766" w14:textId="4DBB325B"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GRAFTSTOCK – known value as </w:t>
      </w:r>
      <w:proofErr w:type="spellStart"/>
      <w:r>
        <w:rPr>
          <w:rFonts w:ascii="Times New Roman" w:hAnsi="Times New Roman" w:cs="Times New Roman"/>
          <w:sz w:val="24"/>
          <w:szCs w:val="24"/>
        </w:rPr>
        <w:t>graftstock</w:t>
      </w:r>
      <w:proofErr w:type="spellEnd"/>
      <w:r>
        <w:rPr>
          <w:rFonts w:ascii="Times New Roman" w:hAnsi="Times New Roman" w:cs="Times New Roman"/>
          <w:sz w:val="24"/>
          <w:szCs w:val="24"/>
        </w:rPr>
        <w:t xml:space="preserve"> for cultivated crops.</w:t>
      </w:r>
    </w:p>
    <w:p w14:paraId="2187B357" w14:textId="4FF46BD7"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TRAITS – multiple columns allowing for single trait per column (obtained via GRIN – CWR database).</w:t>
      </w:r>
    </w:p>
    <w:p w14:paraId="6ED9F54A" w14:textId="4F4F63D1"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ROUNDED_G_RANK – global conservation score from low conservation concern G5 to highest conservation concern G1. Obtained from NatureServe</w:t>
      </w:r>
    </w:p>
    <w:p w14:paraId="1FB659A3" w14:textId="6513A524"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ROUNDED_</w:t>
      </w:r>
      <w:r w:rsidR="00AD5378">
        <w:rPr>
          <w:rFonts w:ascii="Times New Roman" w:hAnsi="Times New Roman" w:cs="Times New Roman"/>
          <w:sz w:val="24"/>
          <w:szCs w:val="24"/>
        </w:rPr>
        <w:t>N</w:t>
      </w:r>
      <w:r>
        <w:rPr>
          <w:rFonts w:ascii="Times New Roman" w:hAnsi="Times New Roman" w:cs="Times New Roman"/>
          <w:sz w:val="24"/>
          <w:szCs w:val="24"/>
        </w:rPr>
        <w:t>_RANK – national (Canadian) conservation score from low conservation concern N5 to highest conservation concern N1. Obtained from NatureServe</w:t>
      </w:r>
    </w:p>
    <w:p w14:paraId="586611DB" w14:textId="45612B3D"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CURRENT_US_DISTRIBUTION – states where the taxon is known to occur.</w:t>
      </w:r>
    </w:p>
    <w:p w14:paraId="3BC48B64" w14:textId="4CEB07ED"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CURRENT_CA_DISTRIBUTION – provinces where the taxon is known to occur.</w:t>
      </w:r>
    </w:p>
    <w:p w14:paraId="43D8B769" w14:textId="6F9BEDA8"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COSEWIC_DESC – </w:t>
      </w:r>
      <w:proofErr w:type="spellStart"/>
      <w:r>
        <w:rPr>
          <w:rFonts w:ascii="Times New Roman" w:hAnsi="Times New Roman" w:cs="Times New Roman"/>
          <w:sz w:val="24"/>
          <w:szCs w:val="24"/>
        </w:rPr>
        <w:t>cosewic</w:t>
      </w:r>
      <w:proofErr w:type="spellEnd"/>
      <w:r>
        <w:rPr>
          <w:rFonts w:ascii="Times New Roman" w:hAnsi="Times New Roman" w:cs="Times New Roman"/>
          <w:sz w:val="24"/>
          <w:szCs w:val="24"/>
        </w:rPr>
        <w:t xml:space="preserve"> assessment score (if taxon has been assessed by the COSEWIC panel). </w:t>
      </w:r>
    </w:p>
    <w:p w14:paraId="4BF928B6" w14:textId="29E465DF" w:rsidR="000B0679" w:rsidRDefault="000B0679" w:rsidP="00E9707F">
      <w:pPr>
        <w:spacing w:line="240" w:lineRule="auto"/>
        <w:rPr>
          <w:rFonts w:ascii="Times New Roman" w:hAnsi="Times New Roman" w:cs="Times New Roman"/>
          <w:sz w:val="24"/>
          <w:szCs w:val="24"/>
        </w:rPr>
      </w:pPr>
      <w:r w:rsidRPr="000B0679">
        <w:rPr>
          <w:rFonts w:ascii="Times New Roman" w:hAnsi="Times New Roman" w:cs="Times New Roman"/>
          <w:sz w:val="24"/>
          <w:szCs w:val="24"/>
        </w:rPr>
        <w:t>SOURCE_OF_TAXON</w:t>
      </w:r>
      <w:r>
        <w:rPr>
          <w:rFonts w:ascii="Times New Roman" w:hAnsi="Times New Roman" w:cs="Times New Roman"/>
          <w:sz w:val="24"/>
          <w:szCs w:val="24"/>
        </w:rPr>
        <w:t xml:space="preserve"> – source where the taxon was obtained during the inventory assessment process (see Methods and Materials).</w:t>
      </w:r>
    </w:p>
    <w:p w14:paraId="3A24EBF6" w14:textId="60F3CFB1" w:rsidR="000B0679" w:rsidRDefault="000B0679" w:rsidP="000B0679">
      <w:pPr>
        <w:spacing w:line="240" w:lineRule="auto"/>
        <w:rPr>
          <w:rFonts w:ascii="Times New Roman" w:hAnsi="Times New Roman" w:cs="Times New Roman"/>
          <w:sz w:val="24"/>
          <w:szCs w:val="24"/>
        </w:rPr>
      </w:pPr>
      <w:r w:rsidRPr="000B0679">
        <w:rPr>
          <w:rFonts w:ascii="Times New Roman" w:hAnsi="Times New Roman" w:cs="Times New Roman"/>
          <w:sz w:val="24"/>
          <w:szCs w:val="24"/>
        </w:rPr>
        <w:t>WUS_SOURCE</w:t>
      </w:r>
      <w:r>
        <w:rPr>
          <w:rFonts w:ascii="Times New Roman" w:hAnsi="Times New Roman" w:cs="Times New Roman"/>
          <w:sz w:val="24"/>
          <w:szCs w:val="24"/>
        </w:rPr>
        <w:t xml:space="preserve"> – source used to score whether a taxon is wild-utilized.</w:t>
      </w:r>
    </w:p>
    <w:p w14:paraId="70B8B6E1" w14:textId="77777777" w:rsidR="00970910" w:rsidRDefault="00970910" w:rsidP="000B0679">
      <w:pPr>
        <w:spacing w:line="240" w:lineRule="auto"/>
        <w:rPr>
          <w:rFonts w:ascii="Times New Roman" w:hAnsi="Times New Roman" w:cs="Times New Roman"/>
          <w:sz w:val="24"/>
          <w:szCs w:val="24"/>
        </w:rPr>
      </w:pPr>
    </w:p>
    <w:p w14:paraId="2FFA7766" w14:textId="3E1D4DF5" w:rsidR="00970910" w:rsidRDefault="00970910" w:rsidP="00970910">
      <w:pPr>
        <w:pStyle w:val="Heading1"/>
      </w:pPr>
      <w:r w:rsidRPr="00970910">
        <w:t>Supplemental_Table_S2_out_of_bound_ranges_provincial</w:t>
      </w:r>
    </w:p>
    <w:p w14:paraId="7ECAF94F" w14:textId="7345AC5B" w:rsidR="00970910" w:rsidRDefault="00970910" w:rsidP="00970910">
      <w:r>
        <w:t xml:space="preserve">Format: .csv fie </w:t>
      </w:r>
    </w:p>
    <w:p w14:paraId="00D2E5FF" w14:textId="58F3328D" w:rsidR="00970910" w:rsidRDefault="00970910" w:rsidP="00970910">
      <w:r>
        <w:t xml:space="preserve">We used this file to filter the GBIF occurrence points to remove regions for species that are outside of their known ranges but are represented by valid occurrence points. Likely these points represent specimens cultivated in gardens, cities, </w:t>
      </w:r>
      <w:proofErr w:type="spellStart"/>
      <w:r>
        <w:t>etc</w:t>
      </w:r>
      <w:proofErr w:type="spellEnd"/>
      <w:r>
        <w:t xml:space="preserve"> rather than representing established persistent populations. </w:t>
      </w:r>
    </w:p>
    <w:p w14:paraId="52F21392" w14:textId="35CE2527" w:rsidR="00970910" w:rsidRDefault="00970910" w:rsidP="00970910"/>
    <w:p w14:paraId="31A5526D" w14:textId="19847090" w:rsidR="00970910" w:rsidRDefault="00970910" w:rsidP="00970910">
      <w:r>
        <w:t xml:space="preserve">SPECIES – species with regions recognized by GBIF occurrences that are outside it’s range </w:t>
      </w:r>
    </w:p>
    <w:p w14:paraId="42116196" w14:textId="77777777" w:rsidR="00970910" w:rsidRDefault="00970910" w:rsidP="00970910">
      <w:r>
        <w:t>PROVINCE – name of the province outside of the range for which occurrence points were removed.</w:t>
      </w:r>
    </w:p>
    <w:p w14:paraId="65A1C4C5" w14:textId="66F19123" w:rsidR="00970910" w:rsidRDefault="00970910" w:rsidP="00970910">
      <w:r>
        <w:t>SOURCE – source for identifying that the region does not truly contain persistent natural pops.</w:t>
      </w:r>
    </w:p>
    <w:p w14:paraId="5C59E9BE" w14:textId="77777777" w:rsidR="00970910" w:rsidRDefault="00970910" w:rsidP="00970910"/>
    <w:p w14:paraId="74384B4F" w14:textId="48CA2E8D" w:rsidR="00970910" w:rsidRDefault="00970910" w:rsidP="00970910">
      <w:pPr>
        <w:pStyle w:val="Heading1"/>
      </w:pPr>
      <w:r w:rsidRPr="00970910">
        <w:t>Supplemental_Table_S</w:t>
      </w:r>
      <w:r>
        <w:t>3</w:t>
      </w:r>
      <w:r w:rsidRPr="00970910">
        <w:t>_out_of_bound_ranges_</w:t>
      </w:r>
      <w:r>
        <w:t>ecoregions</w:t>
      </w:r>
    </w:p>
    <w:p w14:paraId="2EADF948" w14:textId="77777777" w:rsidR="00970910" w:rsidRDefault="00970910" w:rsidP="00970910">
      <w:r>
        <w:t xml:space="preserve">Format: .csv fie </w:t>
      </w:r>
    </w:p>
    <w:p w14:paraId="4FF927E2" w14:textId="0F68B6D6" w:rsidR="00970910" w:rsidRDefault="00970910" w:rsidP="00970910">
      <w:r>
        <w:t xml:space="preserve">We used this file to filter the GBIF occurrence points to remove regions for species that are outside of their known ranges but are represented by valid occurrence points. Likely these points represent specimens cultivated in gardens, cities, </w:t>
      </w:r>
      <w:proofErr w:type="spellStart"/>
      <w:r>
        <w:t>etc</w:t>
      </w:r>
      <w:proofErr w:type="spellEnd"/>
      <w:r>
        <w:t xml:space="preserve"> rather than representing established persistent populations. </w:t>
      </w:r>
    </w:p>
    <w:p w14:paraId="247BDD8C" w14:textId="77777777" w:rsidR="00970910" w:rsidRDefault="00970910" w:rsidP="00970910">
      <w:r>
        <w:t xml:space="preserve">SPECIES – species with regions recognized by GBIF occurrences that are outside </w:t>
      </w:r>
      <w:proofErr w:type="spellStart"/>
      <w:r>
        <w:t>it’s</w:t>
      </w:r>
      <w:proofErr w:type="spellEnd"/>
      <w:r>
        <w:t xml:space="preserve"> range </w:t>
      </w:r>
    </w:p>
    <w:p w14:paraId="3EEF1289" w14:textId="253301E6" w:rsidR="00970910" w:rsidRDefault="00970910" w:rsidP="00970910">
      <w:r>
        <w:t>ECOREGION – name of the ecoregion outside of the range for which occurrence points were removed.</w:t>
      </w:r>
    </w:p>
    <w:p w14:paraId="74A6E0F7" w14:textId="228D5456" w:rsidR="00970910" w:rsidRDefault="00970910" w:rsidP="00970910">
      <w:r>
        <w:t>SOURCE – source for identifying that the region does not truly contain persistent natural pops.</w:t>
      </w:r>
    </w:p>
    <w:p w14:paraId="22E93060" w14:textId="77777777" w:rsidR="00970910" w:rsidRDefault="00970910" w:rsidP="00970910"/>
    <w:p w14:paraId="129A474B" w14:textId="6E511F3C" w:rsidR="00970910" w:rsidRDefault="00970910" w:rsidP="00970910">
      <w:pPr>
        <w:pStyle w:val="Heading1"/>
      </w:pPr>
      <w:r w:rsidRPr="00970910">
        <w:t>Supplemental_Table_S</w:t>
      </w:r>
      <w:r>
        <w:t>4</w:t>
      </w:r>
      <w:r w:rsidRPr="00970910">
        <w:t xml:space="preserve">_ </w:t>
      </w:r>
      <w:proofErr w:type="spellStart"/>
      <w:r w:rsidRPr="00970910">
        <w:t>summary_accessions_all_species</w:t>
      </w:r>
      <w:proofErr w:type="spellEnd"/>
    </w:p>
    <w:p w14:paraId="43ADB222" w14:textId="77777777" w:rsidR="00970910" w:rsidRDefault="00970910" w:rsidP="00970910">
      <w:r>
        <w:t xml:space="preserve">Format: .csv fie </w:t>
      </w:r>
    </w:p>
    <w:p w14:paraId="2F0366CE" w14:textId="77777777" w:rsidR="00A30653" w:rsidRDefault="00A30653" w:rsidP="00970910">
      <w:r>
        <w:t xml:space="preserve">Includes some informational columns from the inventory </w:t>
      </w:r>
      <w:proofErr w:type="gramStart"/>
      <w:r>
        <w:t>and ALSO</w:t>
      </w:r>
      <w:proofErr w:type="gramEnd"/>
      <w:r>
        <w:t xml:space="preserve"> the following 6 columns summarizing the number of accessions in </w:t>
      </w:r>
      <w:proofErr w:type="spellStart"/>
      <w:r>
        <w:t>genebanks</w:t>
      </w:r>
      <w:proofErr w:type="spellEnd"/>
      <w:r>
        <w:t>.</w:t>
      </w:r>
    </w:p>
    <w:p w14:paraId="7C077448" w14:textId="2CB5464B" w:rsidR="00970910" w:rsidRPr="00A30653" w:rsidRDefault="00A30653" w:rsidP="00970910">
      <w:proofErr w:type="spellStart"/>
      <w:r w:rsidRPr="00970910">
        <w:rPr>
          <w:rFonts w:ascii="Calibri" w:eastAsia="Times New Roman" w:hAnsi="Calibri" w:cs="Calibri"/>
          <w:color w:val="000000"/>
          <w:lang w:val="en-CA" w:eastAsia="en-CA"/>
        </w:rPr>
        <w:t>total_accessions_sp</w:t>
      </w:r>
      <w:proofErr w:type="spellEnd"/>
      <w:r>
        <w:rPr>
          <w:rFonts w:ascii="Calibri" w:eastAsia="Times New Roman" w:hAnsi="Calibri" w:cs="Calibri"/>
          <w:color w:val="000000"/>
          <w:lang w:val="en-CA" w:eastAsia="en-CA"/>
        </w:rPr>
        <w:t xml:space="preserve"> – the total number of accessions (at the species taxonomic level)</w:t>
      </w:r>
      <w:r w:rsidR="00F35E4C">
        <w:rPr>
          <w:rFonts w:ascii="Calibri" w:eastAsia="Times New Roman" w:hAnsi="Calibri" w:cs="Calibri"/>
          <w:color w:val="000000"/>
          <w:lang w:val="en-CA" w:eastAsia="en-CA"/>
        </w:rPr>
        <w:t xml:space="preserve"> regardless of provenance (could be collected from outside Canada, </w:t>
      </w:r>
      <w:proofErr w:type="gramStart"/>
      <w:r w:rsidR="00F35E4C">
        <w:rPr>
          <w:rFonts w:ascii="Calibri" w:eastAsia="Times New Roman" w:hAnsi="Calibri" w:cs="Calibri"/>
          <w:color w:val="000000"/>
          <w:lang w:val="en-CA" w:eastAsia="en-CA"/>
        </w:rPr>
        <w:t>e.g.</w:t>
      </w:r>
      <w:proofErr w:type="gramEnd"/>
      <w:r w:rsidR="00F35E4C">
        <w:rPr>
          <w:rFonts w:ascii="Calibri" w:eastAsia="Times New Roman" w:hAnsi="Calibri" w:cs="Calibri"/>
          <w:color w:val="000000"/>
          <w:lang w:val="en-CA" w:eastAsia="en-CA"/>
        </w:rPr>
        <w:t xml:space="preserve"> in the United States)</w:t>
      </w:r>
      <w:r>
        <w:rPr>
          <w:rFonts w:ascii="Calibri" w:eastAsia="Times New Roman" w:hAnsi="Calibri" w:cs="Calibri"/>
          <w:color w:val="000000"/>
          <w:lang w:val="en-CA" w:eastAsia="en-CA"/>
        </w:rPr>
        <w:t>.</w:t>
      </w:r>
    </w:p>
    <w:p w14:paraId="5ED42EA5" w14:textId="2EC7664D" w:rsidR="00A30653" w:rsidRDefault="00A30653" w:rsidP="00A30653">
      <w:pPr>
        <w:rPr>
          <w:rFonts w:ascii="Calibri" w:eastAsia="Times New Roman" w:hAnsi="Calibri" w:cs="Calibri"/>
          <w:color w:val="000000"/>
          <w:lang w:val="en-CA" w:eastAsia="en-CA"/>
        </w:rPr>
      </w:pPr>
      <w:proofErr w:type="spellStart"/>
      <w:r w:rsidRPr="00970910">
        <w:rPr>
          <w:rFonts w:ascii="Calibri" w:eastAsia="Times New Roman" w:hAnsi="Calibri" w:cs="Calibri"/>
          <w:color w:val="000000"/>
          <w:lang w:val="en-CA" w:eastAsia="en-CA"/>
        </w:rPr>
        <w:t>garden_accessions_sp</w:t>
      </w:r>
      <w:proofErr w:type="spellEnd"/>
      <w:r>
        <w:rPr>
          <w:rFonts w:ascii="Calibri" w:eastAsia="Times New Roman" w:hAnsi="Calibri" w:cs="Calibri"/>
          <w:color w:val="000000"/>
          <w:lang w:val="en-CA" w:eastAsia="en-CA"/>
        </w:rPr>
        <w:t xml:space="preserve"> – the number of accessions in botanical gardens (at the species taxonomic level)</w:t>
      </w:r>
      <w:r w:rsidR="00F35E4C">
        <w:rPr>
          <w:rFonts w:ascii="Calibri" w:eastAsia="Times New Roman" w:hAnsi="Calibri" w:cs="Calibri"/>
          <w:color w:val="000000"/>
          <w:lang w:val="en-CA" w:eastAsia="en-CA"/>
        </w:rPr>
        <w:t xml:space="preserve"> regardless of provenance (could be collected from outside Canada, </w:t>
      </w:r>
      <w:proofErr w:type="gramStart"/>
      <w:r w:rsidR="00F35E4C">
        <w:rPr>
          <w:rFonts w:ascii="Calibri" w:eastAsia="Times New Roman" w:hAnsi="Calibri" w:cs="Calibri"/>
          <w:color w:val="000000"/>
          <w:lang w:val="en-CA" w:eastAsia="en-CA"/>
        </w:rPr>
        <w:t>e.g.</w:t>
      </w:r>
      <w:proofErr w:type="gramEnd"/>
      <w:r w:rsidR="00F35E4C">
        <w:rPr>
          <w:rFonts w:ascii="Calibri" w:eastAsia="Times New Roman" w:hAnsi="Calibri" w:cs="Calibri"/>
          <w:color w:val="000000"/>
          <w:lang w:val="en-CA" w:eastAsia="en-CA"/>
        </w:rPr>
        <w:t xml:space="preserve"> in the United States).</w:t>
      </w:r>
    </w:p>
    <w:p w14:paraId="32DC7E51" w14:textId="76BF9516" w:rsidR="00A30653" w:rsidRDefault="00A30653" w:rsidP="00A30653">
      <w:pPr>
        <w:rPr>
          <w:rFonts w:ascii="Calibri" w:eastAsia="Times New Roman" w:hAnsi="Calibri" w:cs="Calibri"/>
          <w:color w:val="000000"/>
          <w:lang w:val="en-CA" w:eastAsia="en-CA"/>
        </w:rPr>
      </w:pPr>
      <w:proofErr w:type="spellStart"/>
      <w:r w:rsidRPr="00970910">
        <w:rPr>
          <w:rFonts w:ascii="Calibri" w:eastAsia="Times New Roman" w:hAnsi="Calibri" w:cs="Calibri"/>
          <w:color w:val="000000"/>
          <w:lang w:val="en-CA" w:eastAsia="en-CA"/>
        </w:rPr>
        <w:t>genebank_accessions_sp</w:t>
      </w:r>
      <w:proofErr w:type="spellEnd"/>
      <w:r>
        <w:rPr>
          <w:rFonts w:ascii="Calibri" w:eastAsia="Times New Roman" w:hAnsi="Calibri" w:cs="Calibri"/>
          <w:color w:val="000000"/>
          <w:lang w:val="en-CA" w:eastAsia="en-CA"/>
        </w:rPr>
        <w:t xml:space="preserve"> – the number of accessions in </w:t>
      </w:r>
      <w:proofErr w:type="spellStart"/>
      <w:r>
        <w:rPr>
          <w:rFonts w:ascii="Calibri" w:eastAsia="Times New Roman" w:hAnsi="Calibri" w:cs="Calibri"/>
          <w:color w:val="000000"/>
          <w:lang w:val="en-CA" w:eastAsia="en-CA"/>
        </w:rPr>
        <w:t>genebanks</w:t>
      </w:r>
      <w:proofErr w:type="spellEnd"/>
      <w:r>
        <w:rPr>
          <w:rFonts w:ascii="Calibri" w:eastAsia="Times New Roman" w:hAnsi="Calibri" w:cs="Calibri"/>
          <w:color w:val="000000"/>
          <w:lang w:val="en-CA" w:eastAsia="en-CA"/>
        </w:rPr>
        <w:t xml:space="preserve"> (both Canada’s national ex situ PGR system and the United States NPGS) (at the species taxonomic level)</w:t>
      </w:r>
      <w:r w:rsidR="00F35E4C">
        <w:rPr>
          <w:rFonts w:ascii="Calibri" w:eastAsia="Times New Roman" w:hAnsi="Calibri" w:cs="Calibri"/>
          <w:color w:val="000000"/>
          <w:lang w:val="en-CA" w:eastAsia="en-CA"/>
        </w:rPr>
        <w:t xml:space="preserve"> regardless of provenance (could be collected from outside Canada, </w:t>
      </w:r>
      <w:proofErr w:type="gramStart"/>
      <w:r w:rsidR="00F35E4C">
        <w:rPr>
          <w:rFonts w:ascii="Calibri" w:eastAsia="Times New Roman" w:hAnsi="Calibri" w:cs="Calibri"/>
          <w:color w:val="000000"/>
          <w:lang w:val="en-CA" w:eastAsia="en-CA"/>
        </w:rPr>
        <w:t>e.g.</w:t>
      </w:r>
      <w:proofErr w:type="gramEnd"/>
      <w:r w:rsidR="00F35E4C">
        <w:rPr>
          <w:rFonts w:ascii="Calibri" w:eastAsia="Times New Roman" w:hAnsi="Calibri" w:cs="Calibri"/>
          <w:color w:val="000000"/>
          <w:lang w:val="en-CA" w:eastAsia="en-CA"/>
        </w:rPr>
        <w:t xml:space="preserve"> in the United States)</w:t>
      </w:r>
      <w:r>
        <w:rPr>
          <w:rFonts w:ascii="Calibri" w:eastAsia="Times New Roman" w:hAnsi="Calibri" w:cs="Calibri"/>
          <w:color w:val="000000"/>
          <w:lang w:val="en-CA" w:eastAsia="en-CA"/>
        </w:rPr>
        <w:t>.</w:t>
      </w:r>
    </w:p>
    <w:p w14:paraId="251A1279" w14:textId="3914B9DB" w:rsidR="00F35E4C" w:rsidRDefault="00F35E4C" w:rsidP="00A30653">
      <w:pPr>
        <w:rPr>
          <w:rFonts w:ascii="Calibri" w:eastAsia="Times New Roman" w:hAnsi="Calibri" w:cs="Calibri"/>
          <w:color w:val="000000"/>
          <w:lang w:val="en-CA" w:eastAsia="en-CA"/>
        </w:rPr>
      </w:pPr>
      <w:proofErr w:type="spellStart"/>
      <w:r w:rsidRPr="00970910">
        <w:rPr>
          <w:rFonts w:ascii="Calibri" w:eastAsia="Times New Roman" w:hAnsi="Calibri" w:cs="Calibri"/>
          <w:color w:val="000000"/>
          <w:lang w:val="en-CA" w:eastAsia="en-CA"/>
        </w:rPr>
        <w:t>total_accessions_w_finest_taxon_res</w:t>
      </w:r>
      <w:proofErr w:type="spellEnd"/>
      <w:r>
        <w:rPr>
          <w:rFonts w:ascii="Calibri" w:eastAsia="Times New Roman" w:hAnsi="Calibri" w:cs="Calibri"/>
          <w:color w:val="000000"/>
          <w:lang w:val="en-CA" w:eastAsia="en-CA"/>
        </w:rPr>
        <w:t xml:space="preserve"> – the total number of accessions </w:t>
      </w:r>
      <w:r w:rsidR="00F87067">
        <w:rPr>
          <w:rFonts w:ascii="Calibri" w:eastAsia="Times New Roman" w:hAnsi="Calibri" w:cs="Calibri"/>
          <w:color w:val="000000"/>
          <w:lang w:val="en-CA" w:eastAsia="en-CA"/>
        </w:rPr>
        <w:t xml:space="preserve">(at the finest taxonomic resolution possible) including only those that are wild-collected from populations in Canada. We were unable to assign infraspecific taxon </w:t>
      </w:r>
      <w:proofErr w:type="gramStart"/>
      <w:r w:rsidR="00F87067">
        <w:rPr>
          <w:rFonts w:ascii="Calibri" w:eastAsia="Times New Roman" w:hAnsi="Calibri" w:cs="Calibri"/>
          <w:color w:val="000000"/>
          <w:lang w:val="en-CA" w:eastAsia="en-CA"/>
        </w:rPr>
        <w:t>id’s</w:t>
      </w:r>
      <w:proofErr w:type="gramEnd"/>
      <w:r w:rsidR="00F87067">
        <w:rPr>
          <w:rFonts w:ascii="Calibri" w:eastAsia="Times New Roman" w:hAnsi="Calibri" w:cs="Calibri"/>
          <w:color w:val="000000"/>
          <w:lang w:val="en-CA" w:eastAsia="en-CA"/>
        </w:rPr>
        <w:t xml:space="preserve"> for some subspecies taxa (column </w:t>
      </w:r>
      <w:r w:rsidR="00F87067" w:rsidRPr="00F87067">
        <w:rPr>
          <w:rFonts w:ascii="Calibri" w:eastAsia="Times New Roman" w:hAnsi="Calibri" w:cs="Calibri"/>
          <w:color w:val="000000"/>
          <w:lang w:val="en-CA" w:eastAsia="en-CA"/>
        </w:rPr>
        <w:t>INFRASPECIFIC_COLLECTIONS_ASSIGNED</w:t>
      </w:r>
      <w:r w:rsidR="00F87067">
        <w:rPr>
          <w:rFonts w:ascii="Calibri" w:eastAsia="Times New Roman" w:hAnsi="Calibri" w:cs="Calibri"/>
          <w:color w:val="000000"/>
          <w:lang w:val="en-CA" w:eastAsia="en-CA"/>
        </w:rPr>
        <w:t xml:space="preserve"> == “N”) – in these cases the numbers for the infraspecific taxa are listed as NA and one must read the higher-level of the species in which the infraspecific taxon is </w:t>
      </w:r>
      <w:r w:rsidR="00F87067">
        <w:rPr>
          <w:rFonts w:ascii="Calibri" w:eastAsia="Times New Roman" w:hAnsi="Calibri" w:cs="Calibri"/>
          <w:color w:val="000000"/>
          <w:lang w:val="en-CA" w:eastAsia="en-CA"/>
        </w:rPr>
        <w:lastRenderedPageBreak/>
        <w:t xml:space="preserve">nested. In cases where infraspecific taxa are assigned, the value in this column (and the garden and </w:t>
      </w:r>
      <w:proofErr w:type="spellStart"/>
      <w:r w:rsidR="00F87067">
        <w:rPr>
          <w:rFonts w:ascii="Calibri" w:eastAsia="Times New Roman" w:hAnsi="Calibri" w:cs="Calibri"/>
          <w:color w:val="000000"/>
          <w:lang w:val="en-CA" w:eastAsia="en-CA"/>
        </w:rPr>
        <w:t>genebank</w:t>
      </w:r>
      <w:proofErr w:type="spellEnd"/>
      <w:r w:rsidR="00F87067">
        <w:rPr>
          <w:rFonts w:ascii="Calibri" w:eastAsia="Times New Roman" w:hAnsi="Calibri" w:cs="Calibri"/>
          <w:color w:val="000000"/>
          <w:lang w:val="en-CA" w:eastAsia="en-CA"/>
        </w:rPr>
        <w:t xml:space="preserve"> counts) are sums of all subordinate taxa.</w:t>
      </w:r>
    </w:p>
    <w:p w14:paraId="7F990680" w14:textId="4711AFD4" w:rsidR="00F87067" w:rsidRPr="00A30653" w:rsidRDefault="00F87067" w:rsidP="00F87067">
      <w:pPr>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garden_</w:t>
      </w:r>
      <w:r w:rsidRPr="00970910">
        <w:rPr>
          <w:rFonts w:ascii="Calibri" w:eastAsia="Times New Roman" w:hAnsi="Calibri" w:cs="Calibri"/>
          <w:color w:val="000000"/>
          <w:lang w:val="en-CA" w:eastAsia="en-CA"/>
        </w:rPr>
        <w:t>accessions_w_finest_taxon_res</w:t>
      </w:r>
      <w:proofErr w:type="spellEnd"/>
      <w:r>
        <w:rPr>
          <w:rFonts w:ascii="Calibri" w:eastAsia="Times New Roman" w:hAnsi="Calibri" w:cs="Calibri"/>
          <w:color w:val="000000"/>
          <w:lang w:val="en-CA" w:eastAsia="en-CA"/>
        </w:rPr>
        <w:t xml:space="preserve"> – the number of accessions in botanical gardens (at the finest taxonomic resolution possible) including only those that are wild-collected from populations in Canada.</w:t>
      </w:r>
    </w:p>
    <w:p w14:paraId="186CACF0" w14:textId="0B1F4A21" w:rsidR="00970910" w:rsidRPr="002C2506" w:rsidRDefault="00F87067" w:rsidP="00970910">
      <w:pPr>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genebank</w:t>
      </w:r>
      <w:r w:rsidRPr="00970910">
        <w:rPr>
          <w:rFonts w:ascii="Calibri" w:eastAsia="Times New Roman" w:hAnsi="Calibri" w:cs="Calibri"/>
          <w:color w:val="000000"/>
          <w:lang w:val="en-CA" w:eastAsia="en-CA"/>
        </w:rPr>
        <w:t>_accessions_w_finest_taxon_res</w:t>
      </w:r>
      <w:proofErr w:type="spellEnd"/>
      <w:r>
        <w:rPr>
          <w:rFonts w:ascii="Calibri" w:eastAsia="Times New Roman" w:hAnsi="Calibri" w:cs="Calibri"/>
          <w:color w:val="000000"/>
          <w:lang w:val="en-CA" w:eastAsia="en-CA"/>
        </w:rPr>
        <w:t xml:space="preserve"> – the number of accessions in </w:t>
      </w:r>
      <w:proofErr w:type="spellStart"/>
      <w:r>
        <w:rPr>
          <w:rFonts w:ascii="Calibri" w:eastAsia="Times New Roman" w:hAnsi="Calibri" w:cs="Calibri"/>
          <w:color w:val="000000"/>
          <w:lang w:val="en-CA" w:eastAsia="en-CA"/>
        </w:rPr>
        <w:t>genebanks</w:t>
      </w:r>
      <w:proofErr w:type="spellEnd"/>
      <w:r>
        <w:rPr>
          <w:rFonts w:ascii="Calibri" w:eastAsia="Times New Roman" w:hAnsi="Calibri" w:cs="Calibri"/>
          <w:color w:val="000000"/>
          <w:lang w:val="en-CA" w:eastAsia="en-CA"/>
        </w:rPr>
        <w:t xml:space="preserve"> (both Canada’s national ex situ PGR system and the United States </w:t>
      </w:r>
      <w:proofErr w:type="gramStart"/>
      <w:r>
        <w:rPr>
          <w:rFonts w:ascii="Calibri" w:eastAsia="Times New Roman" w:hAnsi="Calibri" w:cs="Calibri"/>
          <w:color w:val="000000"/>
          <w:lang w:val="en-CA" w:eastAsia="en-CA"/>
        </w:rPr>
        <w:t>NPGS)  (</w:t>
      </w:r>
      <w:proofErr w:type="gramEnd"/>
      <w:r>
        <w:rPr>
          <w:rFonts w:ascii="Calibri" w:eastAsia="Times New Roman" w:hAnsi="Calibri" w:cs="Calibri"/>
          <w:color w:val="000000"/>
          <w:lang w:val="en-CA" w:eastAsia="en-CA"/>
        </w:rPr>
        <w:t>at the finest taxonomic resolution possible) including only those that are wild-collected from populations in Canada.</w:t>
      </w:r>
    </w:p>
    <w:sectPr w:rsidR="00970910" w:rsidRPr="002C2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FD"/>
    <w:rsid w:val="000B0679"/>
    <w:rsid w:val="000B22FE"/>
    <w:rsid w:val="001B372B"/>
    <w:rsid w:val="00205D25"/>
    <w:rsid w:val="00232EFD"/>
    <w:rsid w:val="002C2506"/>
    <w:rsid w:val="00485AA8"/>
    <w:rsid w:val="004E2B55"/>
    <w:rsid w:val="00665289"/>
    <w:rsid w:val="007351CA"/>
    <w:rsid w:val="00970910"/>
    <w:rsid w:val="00A30653"/>
    <w:rsid w:val="00AD5378"/>
    <w:rsid w:val="00B90CE5"/>
    <w:rsid w:val="00D866C3"/>
    <w:rsid w:val="00D87D45"/>
    <w:rsid w:val="00E9707F"/>
    <w:rsid w:val="00F329AC"/>
    <w:rsid w:val="00F35E4C"/>
    <w:rsid w:val="00F87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4088"/>
  <w15:chartTrackingRefBased/>
  <w15:docId w15:val="{23AAFA9D-75D0-49ED-8AAD-2A1A1AEC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E5"/>
    <w:pPr>
      <w:spacing w:after="200" w:line="276" w:lineRule="auto"/>
    </w:pPr>
    <w:rPr>
      <w:lang w:val="en-US"/>
    </w:rPr>
  </w:style>
  <w:style w:type="paragraph" w:styleId="Heading1">
    <w:name w:val="heading 1"/>
    <w:basedOn w:val="Normal"/>
    <w:next w:val="Normal"/>
    <w:link w:val="Heading1Char"/>
    <w:uiPriority w:val="9"/>
    <w:qFormat/>
    <w:rsid w:val="00970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07F"/>
    <w:rPr>
      <w:color w:val="0563C1" w:themeColor="hyperlink"/>
      <w:u w:val="single"/>
    </w:rPr>
  </w:style>
  <w:style w:type="character" w:styleId="UnresolvedMention">
    <w:name w:val="Unresolved Mention"/>
    <w:basedOn w:val="DefaultParagraphFont"/>
    <w:uiPriority w:val="99"/>
    <w:semiHidden/>
    <w:unhideWhenUsed/>
    <w:rsid w:val="00E9707F"/>
    <w:rPr>
      <w:color w:val="605E5C"/>
      <w:shd w:val="clear" w:color="auto" w:fill="E1DFDD"/>
    </w:rPr>
  </w:style>
  <w:style w:type="character" w:customStyle="1" w:styleId="Heading1Char">
    <w:name w:val="Heading 1 Char"/>
    <w:basedOn w:val="DefaultParagraphFont"/>
    <w:link w:val="Heading1"/>
    <w:uiPriority w:val="9"/>
    <w:rsid w:val="00970910"/>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723">
      <w:bodyDiv w:val="1"/>
      <w:marLeft w:val="0"/>
      <w:marRight w:val="0"/>
      <w:marTop w:val="0"/>
      <w:marBottom w:val="0"/>
      <w:divBdr>
        <w:top w:val="none" w:sz="0" w:space="0" w:color="auto"/>
        <w:left w:val="none" w:sz="0" w:space="0" w:color="auto"/>
        <w:bottom w:val="none" w:sz="0" w:space="0" w:color="auto"/>
        <w:right w:val="none" w:sz="0" w:space="0" w:color="auto"/>
      </w:divBdr>
    </w:div>
    <w:div w:id="256451948">
      <w:bodyDiv w:val="1"/>
      <w:marLeft w:val="0"/>
      <w:marRight w:val="0"/>
      <w:marTop w:val="0"/>
      <w:marBottom w:val="0"/>
      <w:divBdr>
        <w:top w:val="none" w:sz="0" w:space="0" w:color="auto"/>
        <w:left w:val="none" w:sz="0" w:space="0" w:color="auto"/>
        <w:bottom w:val="none" w:sz="0" w:space="0" w:color="auto"/>
        <w:right w:val="none" w:sz="0" w:space="0" w:color="auto"/>
      </w:divBdr>
    </w:div>
    <w:div w:id="400762809">
      <w:bodyDiv w:val="1"/>
      <w:marLeft w:val="0"/>
      <w:marRight w:val="0"/>
      <w:marTop w:val="0"/>
      <w:marBottom w:val="0"/>
      <w:divBdr>
        <w:top w:val="none" w:sz="0" w:space="0" w:color="auto"/>
        <w:left w:val="none" w:sz="0" w:space="0" w:color="auto"/>
        <w:bottom w:val="none" w:sz="0" w:space="0" w:color="auto"/>
        <w:right w:val="none" w:sz="0" w:space="0" w:color="auto"/>
      </w:divBdr>
    </w:div>
    <w:div w:id="622421361">
      <w:bodyDiv w:val="1"/>
      <w:marLeft w:val="0"/>
      <w:marRight w:val="0"/>
      <w:marTop w:val="0"/>
      <w:marBottom w:val="0"/>
      <w:divBdr>
        <w:top w:val="none" w:sz="0" w:space="0" w:color="auto"/>
        <w:left w:val="none" w:sz="0" w:space="0" w:color="auto"/>
        <w:bottom w:val="none" w:sz="0" w:space="0" w:color="auto"/>
        <w:right w:val="none" w:sz="0" w:space="0" w:color="auto"/>
      </w:divBdr>
    </w:div>
    <w:div w:id="932249857">
      <w:bodyDiv w:val="1"/>
      <w:marLeft w:val="0"/>
      <w:marRight w:val="0"/>
      <w:marTop w:val="0"/>
      <w:marBottom w:val="0"/>
      <w:divBdr>
        <w:top w:val="none" w:sz="0" w:space="0" w:color="auto"/>
        <w:left w:val="none" w:sz="0" w:space="0" w:color="auto"/>
        <w:bottom w:val="none" w:sz="0" w:space="0" w:color="auto"/>
        <w:right w:val="none" w:sz="0" w:space="0" w:color="auto"/>
      </w:divBdr>
    </w:div>
    <w:div w:id="990445628">
      <w:bodyDiv w:val="1"/>
      <w:marLeft w:val="0"/>
      <w:marRight w:val="0"/>
      <w:marTop w:val="0"/>
      <w:marBottom w:val="0"/>
      <w:divBdr>
        <w:top w:val="none" w:sz="0" w:space="0" w:color="auto"/>
        <w:left w:val="none" w:sz="0" w:space="0" w:color="auto"/>
        <w:bottom w:val="none" w:sz="0" w:space="0" w:color="auto"/>
        <w:right w:val="none" w:sz="0" w:space="0" w:color="auto"/>
      </w:divBdr>
    </w:div>
    <w:div w:id="1104302759">
      <w:bodyDiv w:val="1"/>
      <w:marLeft w:val="0"/>
      <w:marRight w:val="0"/>
      <w:marTop w:val="0"/>
      <w:marBottom w:val="0"/>
      <w:divBdr>
        <w:top w:val="none" w:sz="0" w:space="0" w:color="auto"/>
        <w:left w:val="none" w:sz="0" w:space="0" w:color="auto"/>
        <w:bottom w:val="none" w:sz="0" w:space="0" w:color="auto"/>
        <w:right w:val="none" w:sz="0" w:space="0" w:color="auto"/>
      </w:divBdr>
    </w:div>
    <w:div w:id="1283489709">
      <w:bodyDiv w:val="1"/>
      <w:marLeft w:val="0"/>
      <w:marRight w:val="0"/>
      <w:marTop w:val="0"/>
      <w:marBottom w:val="0"/>
      <w:divBdr>
        <w:top w:val="none" w:sz="0" w:space="0" w:color="auto"/>
        <w:left w:val="none" w:sz="0" w:space="0" w:color="auto"/>
        <w:bottom w:val="none" w:sz="0" w:space="0" w:color="auto"/>
        <w:right w:val="none" w:sz="0" w:space="0" w:color="auto"/>
      </w:divBdr>
    </w:div>
    <w:div w:id="1330522636">
      <w:bodyDiv w:val="1"/>
      <w:marLeft w:val="0"/>
      <w:marRight w:val="0"/>
      <w:marTop w:val="0"/>
      <w:marBottom w:val="0"/>
      <w:divBdr>
        <w:top w:val="none" w:sz="0" w:space="0" w:color="auto"/>
        <w:left w:val="none" w:sz="0" w:space="0" w:color="auto"/>
        <w:bottom w:val="none" w:sz="0" w:space="0" w:color="auto"/>
        <w:right w:val="none" w:sz="0" w:space="0" w:color="auto"/>
      </w:divBdr>
    </w:div>
    <w:div w:id="1339849745">
      <w:bodyDiv w:val="1"/>
      <w:marLeft w:val="0"/>
      <w:marRight w:val="0"/>
      <w:marTop w:val="0"/>
      <w:marBottom w:val="0"/>
      <w:divBdr>
        <w:top w:val="none" w:sz="0" w:space="0" w:color="auto"/>
        <w:left w:val="none" w:sz="0" w:space="0" w:color="auto"/>
        <w:bottom w:val="none" w:sz="0" w:space="0" w:color="auto"/>
        <w:right w:val="none" w:sz="0" w:space="0" w:color="auto"/>
      </w:divBdr>
    </w:div>
    <w:div w:id="17588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canadensy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 Ulrich</cp:lastModifiedBy>
  <cp:revision>14</cp:revision>
  <dcterms:created xsi:type="dcterms:W3CDTF">2022-03-01T00:42:00Z</dcterms:created>
  <dcterms:modified xsi:type="dcterms:W3CDTF">2022-06-02T23:39:00Z</dcterms:modified>
</cp:coreProperties>
</file>