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2C43A0" w14:textId="4044E27C" w:rsidR="0096384D" w:rsidRPr="006211B6" w:rsidRDefault="006211B6">
      <w:pPr>
        <w:rPr>
          <w:b/>
          <w:bCs/>
          <w:i/>
          <w:iCs/>
          <w:lang w:val="en-CA"/>
        </w:rPr>
      </w:pPr>
      <w:r>
        <w:rPr>
          <w:b/>
          <w:bCs/>
          <w:i/>
          <w:iCs/>
          <w:lang w:val="en-CA"/>
        </w:rPr>
        <w:t xml:space="preserve">Working title: </w:t>
      </w:r>
      <w:r w:rsidR="00387939" w:rsidRPr="006211B6">
        <w:rPr>
          <w:b/>
          <w:bCs/>
          <w:i/>
          <w:iCs/>
          <w:lang w:val="en-CA"/>
        </w:rPr>
        <w:t>Estimating the drivers of insect abundance when detection is less than perfect: a comparison of</w:t>
      </w:r>
      <w:r w:rsidR="00C508B4">
        <w:rPr>
          <w:b/>
          <w:bCs/>
          <w:i/>
          <w:iCs/>
          <w:lang w:val="en-CA"/>
        </w:rPr>
        <w:t xml:space="preserve"> GLM, binomial N-Mixture and multinomial N-Mixture (</w:t>
      </w:r>
      <w:r w:rsidR="000D0274">
        <w:rPr>
          <w:b/>
          <w:bCs/>
          <w:i/>
          <w:iCs/>
          <w:lang w:val="en-CA"/>
        </w:rPr>
        <w:t xml:space="preserve">hierarchical </w:t>
      </w:r>
      <w:r w:rsidR="00C508B4">
        <w:rPr>
          <w:b/>
          <w:bCs/>
          <w:i/>
          <w:iCs/>
          <w:lang w:val="en-CA"/>
        </w:rPr>
        <w:t>mark-recapture)</w:t>
      </w:r>
      <w:r w:rsidR="00387939" w:rsidRPr="006211B6">
        <w:rPr>
          <w:b/>
          <w:bCs/>
          <w:i/>
          <w:iCs/>
          <w:lang w:val="en-CA"/>
        </w:rPr>
        <w:t xml:space="preserve"> approaches.</w:t>
      </w:r>
    </w:p>
    <w:p w14:paraId="78DCE78B" w14:textId="1A54707A" w:rsidR="008C4499" w:rsidRPr="008C4499" w:rsidRDefault="008C4499" w:rsidP="00B9052B">
      <w:pPr>
        <w:spacing w:line="480" w:lineRule="auto"/>
        <w:rPr>
          <w:b/>
          <w:bCs/>
          <w:lang w:val="en-CA"/>
        </w:rPr>
      </w:pPr>
      <w:r w:rsidRPr="008C4499">
        <w:rPr>
          <w:b/>
          <w:bCs/>
          <w:lang w:val="en-CA"/>
        </w:rPr>
        <w:t>Introduction</w:t>
      </w:r>
    </w:p>
    <w:p w14:paraId="6246C62D" w14:textId="763C820B" w:rsidR="00347802" w:rsidRDefault="002D52CB" w:rsidP="00B9052B">
      <w:pPr>
        <w:spacing w:line="480" w:lineRule="auto"/>
        <w:ind w:firstLine="720"/>
        <w:rPr>
          <w:lang w:val="en-CA"/>
        </w:rPr>
      </w:pPr>
      <w:r w:rsidRPr="00321EE8">
        <w:rPr>
          <w:highlight w:val="yellow"/>
          <w:lang w:val="en-CA"/>
        </w:rPr>
        <w:t xml:space="preserve">One of the primary goals of ecology is to </w:t>
      </w:r>
      <w:r w:rsidR="0060326F" w:rsidRPr="00321EE8">
        <w:rPr>
          <w:highlight w:val="yellow"/>
          <w:lang w:val="en-CA"/>
        </w:rPr>
        <w:t>determine</w:t>
      </w:r>
      <w:r w:rsidRPr="00321EE8">
        <w:rPr>
          <w:highlight w:val="yellow"/>
          <w:lang w:val="en-CA"/>
        </w:rPr>
        <w:t xml:space="preserve"> the drivers of abundance</w:t>
      </w:r>
      <w:r w:rsidR="00F75794">
        <w:rPr>
          <w:highlight w:val="yellow"/>
          <w:lang w:val="en-CA"/>
        </w:rPr>
        <w:t xml:space="preserve"> </w:t>
      </w:r>
      <w:r w:rsidR="00363221">
        <w:rPr>
          <w:highlight w:val="yellow"/>
          <w:lang w:val="en-CA"/>
        </w:rPr>
        <w:fldChar w:fldCharType="begin" w:fldLock="1"/>
      </w:r>
      <w:r w:rsidR="00F75794">
        <w:rPr>
          <w:highlight w:val="yellow"/>
          <w:lang w:val="en-CA"/>
        </w:rPr>
        <w:instrText>ADDIN CSL_CITATION {"citationItems":[{"id":"ITEM-1","itemData":{"author":[{"dropping-particle":"","family":"Krebs","given":"C. J.","non-dropping-particle":"","parse-names":false,"suffix":""}],"id":"ITEM-1","issued":{"date-parts":[["1978"]]},"publisher":"Harper &amp; Row","publisher-place":"New York","title":"Ecology: the experimental analysis of distribution and abundance. 2d ed.","type":"book"},"uris":["http://www.mendeley.com/documents/?uuid=07dde47f-36ef-4cf3-ad3b-5c0f176ad385"]},{"id":"ITEM-2","itemData":{"DOI":"10.1098/RSTB.1994.0114","ISSN":"09628436","abstract":"From first principles, the temporal variability of a time series of abundances can be defined as the average deviation of values from a mean value on a proportional scale. In this paper we review: ...","author":[{"dropping-particle":"","family":"Gaston","given":"K. J.","non-dropping-particle":"","parse-names":false,"suffix":""},{"dropping-particle":"","family":"McArdle","given":"B. H.","non-dropping-particle":"","parse-names":false,"suffix":""}],"container-title":"Philosophical Transactions of the Royal Society of London. Series B: Biological Sciences","id":"ITEM-2","issue":"1314","issued":{"date-parts":[["1994","9","29"]]},"page":"335-358","publisher":"The Royal SocietyLondon","title":"The temporal variability of animal abundances: measures, methods and patterns","type":"article-journal","volume":"345"},"uris":["http://www.mendeley.com/documents/?uuid=c6026751-2ec2-3947-8866-9ccc3d2a62b1"]}],"mendeley":{"formattedCitation":"(Krebs 1978; Gaston and McArdle 1994)","plainTextFormattedCitation":"(Krebs 1978; Gaston and McArdle 1994)","previouslyFormattedCitation":"(Krebs 1978; Gaston and McArdle 1994)"},"properties":{"noteIndex":0},"schema":"https://github.com/citation-style-language/schema/raw/master/csl-citation.json"}</w:instrText>
      </w:r>
      <w:r w:rsidR="00363221">
        <w:rPr>
          <w:highlight w:val="yellow"/>
          <w:lang w:val="en-CA"/>
        </w:rPr>
        <w:fldChar w:fldCharType="separate"/>
      </w:r>
      <w:r w:rsidR="00363221" w:rsidRPr="00363221">
        <w:rPr>
          <w:noProof/>
          <w:highlight w:val="yellow"/>
          <w:lang w:val="en-CA"/>
        </w:rPr>
        <w:t>(Krebs 1978; Gaston and McArdle 1994)</w:t>
      </w:r>
      <w:r w:rsidR="00363221">
        <w:rPr>
          <w:highlight w:val="yellow"/>
          <w:lang w:val="en-CA"/>
        </w:rPr>
        <w:fldChar w:fldCharType="end"/>
      </w:r>
      <w:r w:rsidRPr="00321EE8">
        <w:rPr>
          <w:highlight w:val="yellow"/>
          <w:lang w:val="en-CA"/>
        </w:rPr>
        <w:t>.</w:t>
      </w:r>
      <w:r>
        <w:rPr>
          <w:lang w:val="en-CA"/>
        </w:rPr>
        <w:t xml:space="preserve"> </w:t>
      </w:r>
      <w:r w:rsidR="00347802">
        <w:rPr>
          <w:lang w:val="en-CA"/>
        </w:rPr>
        <w:t xml:space="preserve">Comparing </w:t>
      </w:r>
      <w:r w:rsidR="009A7307">
        <w:rPr>
          <w:lang w:val="en-CA"/>
        </w:rPr>
        <w:t xml:space="preserve">the </w:t>
      </w:r>
      <w:r w:rsidR="00347802">
        <w:rPr>
          <w:lang w:val="en-CA"/>
        </w:rPr>
        <w:t xml:space="preserve">abundance </w:t>
      </w:r>
      <w:r w:rsidR="0060326F">
        <w:rPr>
          <w:lang w:val="en-CA"/>
        </w:rPr>
        <w:t xml:space="preserve">of different species </w:t>
      </w:r>
      <w:r w:rsidR="00347802">
        <w:rPr>
          <w:lang w:val="en-CA"/>
        </w:rPr>
        <w:t xml:space="preserve">across space and time allows us to </w:t>
      </w:r>
      <w:r w:rsidR="007D22C8">
        <w:rPr>
          <w:lang w:val="en-CA"/>
        </w:rPr>
        <w:t>understand</w:t>
      </w:r>
      <w:r w:rsidR="00347802">
        <w:rPr>
          <w:lang w:val="en-CA"/>
        </w:rPr>
        <w:t xml:space="preserve"> how </w:t>
      </w:r>
      <w:r w:rsidR="0060326F">
        <w:rPr>
          <w:lang w:val="en-CA"/>
        </w:rPr>
        <w:t xml:space="preserve">the </w:t>
      </w:r>
      <w:r w:rsidR="00347802">
        <w:rPr>
          <w:lang w:val="en-CA"/>
        </w:rPr>
        <w:t>abiotic and biotic environment</w:t>
      </w:r>
      <w:r w:rsidR="00495E45">
        <w:rPr>
          <w:lang w:val="en-CA"/>
        </w:rPr>
        <w:t xml:space="preserve"> </w:t>
      </w:r>
      <w:r w:rsidR="0060326F">
        <w:rPr>
          <w:lang w:val="en-CA"/>
        </w:rPr>
        <w:t xml:space="preserve">combine to shape patterns of </w:t>
      </w:r>
      <w:r w:rsidR="00347802">
        <w:rPr>
          <w:lang w:val="en-CA"/>
        </w:rPr>
        <w:t>biodiversity</w:t>
      </w:r>
      <w:r w:rsidR="00F75794">
        <w:rPr>
          <w:lang w:val="en-CA"/>
        </w:rPr>
        <w:t xml:space="preserve"> </w:t>
      </w:r>
      <w:r w:rsidR="00363221">
        <w:rPr>
          <w:lang w:val="en-CA"/>
        </w:rPr>
        <w:fldChar w:fldCharType="begin" w:fldLock="1"/>
      </w:r>
      <w:r w:rsidR="00F75794">
        <w:rPr>
          <w:lang w:val="en-CA"/>
        </w:rPr>
        <w:instrText>ADDIN CSL_CITATION {"citationItems":[{"id":"ITEM-1","itemData":{"author":[{"dropping-particle":"","family":"Krebs","given":"C. J.","non-dropping-particle":"","parse-names":false,"suffix":""}],"id":"ITEM-1","issued":{"date-parts":[["1978"]]},"publisher":"Harper &amp; Row","publisher-place":"New York","title":"Ecology: the experimental analysis of distribution and abundance. 2d ed.","type":"book"},"uris":["http://www.mendeley.com/documents/?uuid=07dde47f-36ef-4cf3-ad3b-5c0f176ad385"]},{"id":"ITEM-2","itemData":{"DOI":"10.1098/RSTB.1994.0114","ISSN":"09628436","abstract":"From first principles, the temporal variability of a time series of abundances can be defined as the average deviation of values from a mean value on a proportional scale. In this paper we review: ...","author":[{"dropping-particle":"","family":"Gaston","given":"K. J.","non-dropping-particle":"","parse-names":false,"suffix":""},{"dropping-particle":"","family":"McArdle","given":"B. H.","non-dropping-particle":"","parse-names":false,"suffix":""}],"container-title":"Philosophical Transactions of the Royal Society of London. Series B: Biological Sciences","id":"ITEM-2","issue":"1314","issued":{"date-parts":[["1994","9","29"]]},"page":"335-358","publisher":"The Royal SocietyLondon","title":"The temporal variability of animal abundances: measures, methods and patterns","type":"article-journal","volume":"345"},"uris":["http://www.mendeley.com/documents/?uuid=c6026751-2ec2-3947-8866-9ccc3d2a62b1"]}],"mendeley":{"formattedCitation":"(Krebs 1978; Gaston and McArdle 1994)","plainTextFormattedCitation":"(Krebs 1978; Gaston and McArdle 1994)","previouslyFormattedCitation":"(Krebs 1978; Gaston and McArdle 1994)"},"properties":{"noteIndex":0},"schema":"https://github.com/citation-style-language/schema/raw/master/csl-citation.json"}</w:instrText>
      </w:r>
      <w:r w:rsidR="00363221">
        <w:rPr>
          <w:lang w:val="en-CA"/>
        </w:rPr>
        <w:fldChar w:fldCharType="separate"/>
      </w:r>
      <w:r w:rsidR="00363221" w:rsidRPr="00363221">
        <w:rPr>
          <w:noProof/>
          <w:lang w:val="en-CA"/>
        </w:rPr>
        <w:t>(Krebs 1978; Gaston and McArdle 1994)</w:t>
      </w:r>
      <w:r w:rsidR="00363221">
        <w:rPr>
          <w:lang w:val="en-CA"/>
        </w:rPr>
        <w:fldChar w:fldCharType="end"/>
      </w:r>
      <w:r w:rsidR="00347802">
        <w:rPr>
          <w:lang w:val="en-CA"/>
        </w:rPr>
        <w:t xml:space="preserve">. From a conservation perspective, </w:t>
      </w:r>
      <w:r w:rsidR="00C508B4">
        <w:rPr>
          <w:lang w:val="en-CA"/>
        </w:rPr>
        <w:t>quantifying the drivers of</w:t>
      </w:r>
      <w:r w:rsidR="00347802">
        <w:rPr>
          <w:lang w:val="en-CA"/>
        </w:rPr>
        <w:t xml:space="preserve"> abundance </w:t>
      </w:r>
      <w:r w:rsidR="00C508B4">
        <w:rPr>
          <w:lang w:val="en-CA"/>
        </w:rPr>
        <w:t>allows us to</w:t>
      </w:r>
      <w:r w:rsidR="007A23D3">
        <w:rPr>
          <w:lang w:val="en-CA"/>
        </w:rPr>
        <w:t xml:space="preserve"> assess population trends (e.g., Schultz and Hammond 2003 add ref), </w:t>
      </w:r>
      <w:r w:rsidR="00347802">
        <w:rPr>
          <w:lang w:val="en-CA"/>
        </w:rPr>
        <w:t xml:space="preserve">identify population threats </w:t>
      </w:r>
      <w:r w:rsidR="007A23D3">
        <w:rPr>
          <w:lang w:val="en-CA"/>
        </w:rPr>
        <w:fldChar w:fldCharType="begin" w:fldLock="1"/>
      </w:r>
      <w:r w:rsidR="00163E2E">
        <w:rPr>
          <w:lang w:val="en-CA"/>
        </w:rPr>
        <w:instrText>ADDIN CSL_CITATION {"citationItems":[{"id":"ITEM-1","itemData":{"DOI":"10.1038/nature14420","author":[{"dropping-particle":"","family":"Rundlöf","given":"Maj","non-dropping-particle":"","parse-names":false,"suffix":""},{"dropping-particle":"","family":"Andersson","given":"Georg","non-dropping-particle":"","parse-names":false,"suffix":""},{"dropping-particle":"","family":"Bommarco","given":"Riccardo","non-dropping-particle":"","parse-names":false,"suffix":""},{"dropping-particle":"","family":"Fries","given":"Ingemar","non-dropping-particle":"","parse-names":false,"suffix":""},{"dropping-particle":"","family":"Hederstöm","given":"Veronica","non-dropping-particle":"","parse-names":false,"suffix":""},{"dropping-particle":"","family":"Herbertsson","given":"Lina","non-dropping-particle":"","parse-names":false,"suffix":""},{"dropping-particle":"","family":"Jonsson","given":"Ove","non-dropping-particle":"","parse-names":false,"suffix":""},{"dropping-particle":"","family":"Klatt","given":"Björn","non-dropping-particle":"","parse-names":false,"suffix":""},{"dropping-particle":"","family":"Pederson","given":"Thorsten","non-dropping-particle":"","parse-names":false,"suffix":""},{"dropping-particle":"","family":"Yourstone","given":"Johanna","non-dropping-particle":"","parse-names":false,"suffix":""},{"dropping-particle":"","family":"Smith","given":"Henrik G.","non-dropping-particle":"","parse-names":false,"suffix":""}],"container-title":"Nature","id":"ITEM-1","issued":{"date-parts":[["2015"]]},"page":"77-80","title":"Seed coating with a neonicotinoid insecticide negatively affects wild bees","type":"article-journal","volume":"521"},"uris":["http://www.mendeley.com/documents/?uuid=26de571d-1ec8-4b78-a529-ed28817dcd9e"]}],"mendeley":{"formattedCitation":"(Rundlöf et al. 2015)","plainTextFormattedCitation":"(Rundlöf et al. 2015)","previouslyFormattedCitation":"(Rundlöf et al. 2015)"},"properties":{"noteIndex":0},"schema":"https://github.com/citation-style-language/schema/raw/master/csl-citation.json"}</w:instrText>
      </w:r>
      <w:r w:rsidR="007A23D3">
        <w:rPr>
          <w:lang w:val="en-CA"/>
        </w:rPr>
        <w:fldChar w:fldCharType="separate"/>
      </w:r>
      <w:r w:rsidR="007A23D3" w:rsidRPr="007A23D3">
        <w:rPr>
          <w:noProof/>
          <w:lang w:val="en-CA"/>
        </w:rPr>
        <w:t>(Rundlöf et al. 2015)</w:t>
      </w:r>
      <w:r w:rsidR="007A23D3">
        <w:rPr>
          <w:lang w:val="en-CA"/>
        </w:rPr>
        <w:fldChar w:fldCharType="end"/>
      </w:r>
      <w:r w:rsidR="007A23D3">
        <w:rPr>
          <w:lang w:val="en-CA"/>
        </w:rPr>
        <w:t xml:space="preserve">, </w:t>
      </w:r>
      <w:r w:rsidR="00347802">
        <w:rPr>
          <w:lang w:val="en-CA"/>
        </w:rPr>
        <w:t xml:space="preserve">or </w:t>
      </w:r>
      <w:r w:rsidR="00C508B4">
        <w:rPr>
          <w:lang w:val="en-CA"/>
        </w:rPr>
        <w:t>evaluate</w:t>
      </w:r>
      <w:r w:rsidR="00347802">
        <w:rPr>
          <w:lang w:val="en-CA"/>
        </w:rPr>
        <w:t xml:space="preserve"> the </w:t>
      </w:r>
      <w:r w:rsidR="00C508B4">
        <w:rPr>
          <w:lang w:val="en-CA"/>
        </w:rPr>
        <w:t>success</w:t>
      </w:r>
      <w:r w:rsidR="00347802">
        <w:rPr>
          <w:lang w:val="en-CA"/>
        </w:rPr>
        <w:t xml:space="preserve"> of </w:t>
      </w:r>
      <w:r w:rsidR="000D0274">
        <w:rPr>
          <w:lang w:val="en-CA"/>
        </w:rPr>
        <w:t xml:space="preserve">a </w:t>
      </w:r>
      <w:r w:rsidR="00347802">
        <w:rPr>
          <w:lang w:val="en-CA"/>
        </w:rPr>
        <w:t>management intervention</w:t>
      </w:r>
      <w:r w:rsidR="00DF3AA7">
        <w:rPr>
          <w:lang w:val="en-CA"/>
        </w:rPr>
        <w:t>,</w:t>
      </w:r>
      <w:r w:rsidR="0060326F">
        <w:rPr>
          <w:lang w:val="en-CA"/>
        </w:rPr>
        <w:t xml:space="preserve"> </w:t>
      </w:r>
      <w:r w:rsidR="00DF3AA7">
        <w:rPr>
          <w:lang w:val="en-CA"/>
        </w:rPr>
        <w:t>f</w:t>
      </w:r>
      <w:r w:rsidR="0060326F">
        <w:rPr>
          <w:lang w:val="en-CA"/>
        </w:rPr>
        <w:t xml:space="preserve">or example, </w:t>
      </w:r>
      <w:r w:rsidR="00C508B4">
        <w:rPr>
          <w:lang w:val="en-CA"/>
        </w:rPr>
        <w:t xml:space="preserve">determining whether </w:t>
      </w:r>
      <w:r w:rsidR="00A51A47">
        <w:rPr>
          <w:lang w:val="en-CA"/>
        </w:rPr>
        <w:t>h</w:t>
      </w:r>
      <w:r w:rsidR="0060326F">
        <w:rPr>
          <w:lang w:val="en-CA"/>
        </w:rPr>
        <w:t>abitat restoration</w:t>
      </w:r>
      <w:r w:rsidR="00DF3AA7">
        <w:rPr>
          <w:lang w:val="en-CA"/>
        </w:rPr>
        <w:t xml:space="preserve"> </w:t>
      </w:r>
      <w:r w:rsidR="00C508B4">
        <w:rPr>
          <w:lang w:val="en-CA"/>
        </w:rPr>
        <w:t xml:space="preserve">supports beneficial species </w:t>
      </w:r>
      <w:r w:rsidR="00F75794">
        <w:rPr>
          <w:lang w:val="en-CA"/>
        </w:rPr>
        <w:fldChar w:fldCharType="begin" w:fldLock="1"/>
      </w:r>
      <w:r w:rsidR="00F75794">
        <w:rPr>
          <w:lang w:val="en-CA"/>
        </w:rPr>
        <w:instrText>ADDIN CSL_CITATION {"citationItems":[{"id":"ITEM-1","itemData":{"DOI":"10.1111/J.1061-2971.2004.00262.X","ISSN":"1526-100X","abstract":"Few ecosystem restoration studies evaluate whether arthropods are important components of ecosystem recovery. We tested the hypothesis that ponderosa pine restoration treatments would increase adult butterfly species richness and abundance as a direct result of increased understory diversity and abundance. To examine mechanisms that potentially affect adult butterfly distribution, we quantified host plant frequency, nectar plant abundance, and insolation (light intensity) in restoration treatment and control forests. This study is unique, because this is the first invertebrate monitoring in ponderosa pine forest restoration treatments in the U.S. Southwest and also because these treatments are the first replicated ponderosa pine restoration treatments at a landscape scale. Three patterns emerged: (1) butterfly species richness and abundance were 2 and 3 times greater, respectively, in restoration treatment units than in paired control forests 1 year after treatment, and 1.5 and 3.5 times greater, respectively, 2 years after treatment, ordination of control and treatment sampling units using butterfly assemblages showed significant separation of control and restoration treatment units after restoration treatment; (2) host plant and nectar plant species richness showed little difference between treated and control forests even 2 years after treatment; and (3) insolation (light intensity) was significantly greater in treated forests after restoration. We suggest that changes in the butterfly assemblage may occur due to light intensity effects before plant community changes occur or can be detected. Butterfly assemblage differences will have additional cascading effects on the ecosystem as prey for higher trophic levels and through plant interactions including herbivory and pollination. © 2004 Society for Ecological Restoration International.","author":[{"dropping-particle":"","family":"Waltz","given":"Amy E.M.","non-dropping-particle":"","parse-names":false,"suffix":""},{"dropping-particle":"","family":"Covington","given":"W. Wallace","non-dropping-particle":"","parse-names":false,"suffix":""}],"container-title":"Restoration Ecology","id":"ITEM-1","issue":"1","issued":{"date-parts":[["2004","3","1"]]},"page":"85-96","publisher":"John Wiley &amp; Sons, Ltd","title":"Ecological Restoration Treatments Increase Butterfly Richness and Abundance: Mechanisms of Response","type":"article-journal","volume":"12"},"uris":["http://www.mendeley.com/documents/?uuid=86547663-64dc-3d58-a4e7-1c07b40d50df"]},{"id":"ITEM-2","itemData":{"DOI":"10.1111/1365-2664.12257","ISSN":"13652664","abstract":"Summary: Pollination services from wild insects contribute to crop productivity around the world, but are at risk of decline in agricultural landscapes. Using highbush blueberry as a model system, we tested whether wildflower plantings established adjacent to crop fields would increase the abundance of wild pollinators during crop bloom and enhance pollination and yield. Plantings were seeded in 2009 with a mix of 15 perennial wildflower species that provided season-long bloom and increased plant density and floral area during the subsequent 3 years. Honeybees visiting blueberry flowers had similar abundance in enhanced and control fields in all 4 years of this study, whereas wild bee and syrphid abundance increased annually in the fields adjacent to wildflower plantings. Crop pollination parameters including percentage fruit set, berry weight and mature seeds per berry were significantly greater in fields adjacent to wildflower plantings 3 and 4 years after seeding, leading to higher crop yields and with the associated revenue exceeding the cost of wildflower establishment and maintenance. Synthesis and applications. We suggest that provision of forage habitat for bees adjacent to pollinator-dependent crops can conserve wild pollinators in otherwise resource-poor agricultural landscapes. Over time, these plantings can support higher crop yields and bring a return on the initial investment in wildflower seed and planting establishment, also insuring against loss of managed pollinators. Further understanding of the importance of planting size, location and landscape context will be required to effectively implement this practice to support crop pollination. © 2014 British Ecological Society.","author":[{"dropping-particle":"","family":"Blaauw","given":"Brett R.","non-dropping-particle":"","parse-names":false,"suffix":""},{"dropping-particle":"","family":"Isaacs","given":"Rufus","non-dropping-particle":"","parse-names":false,"suffix":""}],"container-title":"Journal of Applied Ecology","id":"ITEM-2","issue":"4","issued":{"date-parts":[["2014"]]},"page":"890-898","title":"Flower plantings increase wild bee abundance and the pollination services provided to a pollination-dependent crop","type":"article-journal","volume":"51"},"uris":["http://www.mendeley.com/documents/?uuid=715aee90-7554-46df-8f2e-fe9c21b9e9a7"]}],"mendeley":{"formattedCitation":"(Waltz and Covington 2004; Blaauw and Isaacs 2014)","plainTextFormattedCitation":"(Waltz and Covington 2004; Blaauw and Isaacs 2014)","previouslyFormattedCitation":"(Waltz and Covington 2004; Blaauw and Isaacs 2014)"},"properties":{"noteIndex":0},"schema":"https://github.com/citation-style-language/schema/raw/master/csl-citation.json"}</w:instrText>
      </w:r>
      <w:r w:rsidR="00F75794">
        <w:rPr>
          <w:lang w:val="en-CA"/>
        </w:rPr>
        <w:fldChar w:fldCharType="separate"/>
      </w:r>
      <w:r w:rsidR="00F75794" w:rsidRPr="00F75794">
        <w:rPr>
          <w:noProof/>
          <w:lang w:val="en-CA"/>
        </w:rPr>
        <w:t>(Waltz and Covington 2004; Blaauw and Isaacs 2014)</w:t>
      </w:r>
      <w:r w:rsidR="00F75794">
        <w:rPr>
          <w:lang w:val="en-CA"/>
        </w:rPr>
        <w:fldChar w:fldCharType="end"/>
      </w:r>
      <w:r w:rsidR="0060326F">
        <w:rPr>
          <w:lang w:val="en-CA"/>
        </w:rPr>
        <w:t>.</w:t>
      </w:r>
      <w:r w:rsidR="004B283D">
        <w:rPr>
          <w:lang w:val="en-CA"/>
        </w:rPr>
        <w:t xml:space="preserve"> Accurately </w:t>
      </w:r>
      <w:r w:rsidR="00495E45">
        <w:rPr>
          <w:lang w:val="en-CA"/>
        </w:rPr>
        <w:t xml:space="preserve">and precisely </w:t>
      </w:r>
      <w:r w:rsidR="004B283D">
        <w:rPr>
          <w:lang w:val="en-CA"/>
        </w:rPr>
        <w:t xml:space="preserve">estimating the drivers of abundance is especially critical for insects, a functionally important group that is facing widespread declines </w:t>
      </w:r>
      <w:r w:rsidR="004B283D">
        <w:rPr>
          <w:lang w:val="en-CA"/>
        </w:rPr>
        <w:fldChar w:fldCharType="begin" w:fldLock="1"/>
      </w:r>
      <w:r w:rsidR="00B77D8E">
        <w:rPr>
          <w:lang w:val="en-CA"/>
        </w:rPr>
        <w:instrText>ADDIN CSL_CITATION {"citationItems":[{"id":"ITEM-1","itemData":{"DOI":"10.1073/PNAS.2023989118","ISSN":"10916490","PMID":"33431573","author":[{"dropping-particle":"","family":"Wagner","given":"D.","non-dropping-particle":"","parse-names":false,"suffix":""},{"dropping-particle":"","family":"Grames","given":"E.","non-dropping-particle":"","parse-names":false,"suffix":""},{"dropping-particle":"","family":"Forister","given":"M.","non-dropping-particle":"","parse-names":false,"suffix":""},{"dropping-particle":"","family":"Berenbaum","given":"M.","non-dropping-particle":"","parse-names":false,"suffix":""},{"dropping-particle":"","family":"Stopak","given":"D.","non-dropping-particle":"","parse-names":false,"suffix":""}],"container-title":"PNAS","id":"ITEM-1","issue":"2","issued":{"date-parts":[["2021","1","11"]]},"publisher":"National Academy of Sciences","title":"Insect decline in the Anthropocene: Death by a thousand cuts","type":"article-journal","volume":"118"},"uris":["http://www.mendeley.com/documents/?uuid=f7525d28-f579-39c6-b576-8c31a855a750"]}],"mendeley":{"formattedCitation":"(Wagner et al. 2021)","plainTextFormattedCitation":"(Wagner et al. 2021)","previouslyFormattedCitation":"(Wagner et al. 2021)"},"properties":{"noteIndex":0},"schema":"https://github.com/citation-style-language/schema/raw/master/csl-citation.json"}</w:instrText>
      </w:r>
      <w:r w:rsidR="004B283D">
        <w:rPr>
          <w:lang w:val="en-CA"/>
        </w:rPr>
        <w:fldChar w:fldCharType="separate"/>
      </w:r>
      <w:r w:rsidR="004B283D" w:rsidRPr="004B283D">
        <w:rPr>
          <w:noProof/>
          <w:lang w:val="en-CA"/>
        </w:rPr>
        <w:t>(Wagner et al. 2021)</w:t>
      </w:r>
      <w:r w:rsidR="004B283D">
        <w:rPr>
          <w:lang w:val="en-CA"/>
        </w:rPr>
        <w:fldChar w:fldCharType="end"/>
      </w:r>
      <w:r w:rsidR="004B283D">
        <w:rPr>
          <w:lang w:val="en-CA"/>
        </w:rPr>
        <w:t>.</w:t>
      </w:r>
    </w:p>
    <w:p w14:paraId="449C5183" w14:textId="27304386" w:rsidR="00AC580E" w:rsidRDefault="002D52CB" w:rsidP="003B648D">
      <w:pPr>
        <w:spacing w:line="480" w:lineRule="auto"/>
        <w:ind w:firstLine="720"/>
        <w:rPr>
          <w:lang w:val="en-CA"/>
        </w:rPr>
      </w:pPr>
      <w:r w:rsidRPr="00321EE8">
        <w:rPr>
          <w:highlight w:val="yellow"/>
          <w:lang w:val="en-CA"/>
        </w:rPr>
        <w:t xml:space="preserve">Typically, </w:t>
      </w:r>
      <w:r w:rsidR="0060326F" w:rsidRPr="00321EE8">
        <w:rPr>
          <w:highlight w:val="yellow"/>
          <w:lang w:val="en-CA"/>
        </w:rPr>
        <w:t xml:space="preserve">ecologists estimate the drivers of </w:t>
      </w:r>
      <w:r w:rsidR="004B283D">
        <w:rPr>
          <w:highlight w:val="yellow"/>
          <w:lang w:val="en-CA"/>
        </w:rPr>
        <w:t xml:space="preserve">insect </w:t>
      </w:r>
      <w:r w:rsidRPr="00321EE8">
        <w:rPr>
          <w:highlight w:val="yellow"/>
          <w:lang w:val="en-CA"/>
        </w:rPr>
        <w:t xml:space="preserve">abundance </w:t>
      </w:r>
      <w:r w:rsidR="0060326F" w:rsidRPr="00321EE8">
        <w:rPr>
          <w:highlight w:val="yellow"/>
          <w:lang w:val="en-CA"/>
        </w:rPr>
        <w:t>by</w:t>
      </w:r>
      <w:r w:rsidRPr="00321EE8">
        <w:rPr>
          <w:highlight w:val="yellow"/>
          <w:lang w:val="en-CA"/>
        </w:rPr>
        <w:t xml:space="preserve"> </w:t>
      </w:r>
      <w:r w:rsidR="0060326F" w:rsidRPr="00321EE8">
        <w:rPr>
          <w:highlight w:val="yellow"/>
          <w:lang w:val="en-CA"/>
        </w:rPr>
        <w:t>fitting generalized linear models</w:t>
      </w:r>
      <w:r w:rsidR="00F75794">
        <w:rPr>
          <w:highlight w:val="yellow"/>
          <w:lang w:val="en-CA"/>
        </w:rPr>
        <w:t xml:space="preserve"> (GLM’s)</w:t>
      </w:r>
      <w:r w:rsidR="0060326F" w:rsidRPr="00321EE8">
        <w:rPr>
          <w:highlight w:val="yellow"/>
          <w:lang w:val="en-CA"/>
        </w:rPr>
        <w:t xml:space="preserve"> to</w:t>
      </w:r>
      <w:r w:rsidRPr="00321EE8">
        <w:rPr>
          <w:highlight w:val="yellow"/>
          <w:lang w:val="en-CA"/>
        </w:rPr>
        <w:t xml:space="preserve"> count</w:t>
      </w:r>
      <w:r w:rsidR="0060326F" w:rsidRPr="00321EE8">
        <w:rPr>
          <w:highlight w:val="yellow"/>
          <w:lang w:val="en-CA"/>
        </w:rPr>
        <w:t xml:space="preserve"> data</w:t>
      </w:r>
      <w:r w:rsidR="004B283D">
        <w:rPr>
          <w:highlight w:val="yellow"/>
          <w:lang w:val="en-CA"/>
        </w:rPr>
        <w:t xml:space="preserve"> from transect or trap surveys</w:t>
      </w:r>
      <w:r w:rsidRPr="00321EE8">
        <w:rPr>
          <w:highlight w:val="yellow"/>
          <w:lang w:val="en-CA"/>
        </w:rPr>
        <w:t>.</w:t>
      </w:r>
      <w:r>
        <w:rPr>
          <w:lang w:val="en-CA"/>
        </w:rPr>
        <w:t xml:space="preserve"> </w:t>
      </w:r>
      <w:r w:rsidR="00AC580E">
        <w:rPr>
          <w:lang w:val="en-CA"/>
        </w:rPr>
        <w:t>Yet</w:t>
      </w:r>
      <w:r w:rsidR="00DF3AA7">
        <w:rPr>
          <w:lang w:val="en-CA"/>
        </w:rPr>
        <w:t>, count</w:t>
      </w:r>
      <w:r>
        <w:rPr>
          <w:lang w:val="en-CA"/>
        </w:rPr>
        <w:t xml:space="preserve"> data are almost always affected by false-negative and false-positive measurement errors</w:t>
      </w:r>
      <w:r w:rsidR="00F75794">
        <w:rPr>
          <w:lang w:val="en-CA"/>
        </w:rPr>
        <w:t xml:space="preserve"> </w:t>
      </w:r>
      <w:r w:rsidR="00F75794">
        <w:rPr>
          <w:lang w:val="en-CA"/>
        </w:rPr>
        <w:fldChar w:fldCharType="begin" w:fldLock="1"/>
      </w:r>
      <w:r w:rsidR="00F75794">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and Royle 2020)","plainTextFormattedCitation":"(Kery and Royle 2020)","previouslyFormattedCitation":"(Kery and Royle 2020)"},"properties":{"noteIndex":0},"schema":"https://github.com/citation-style-language/schema/raw/master/csl-citation.json"}</w:instrText>
      </w:r>
      <w:r w:rsidR="00F75794">
        <w:rPr>
          <w:lang w:val="en-CA"/>
        </w:rPr>
        <w:fldChar w:fldCharType="separate"/>
      </w:r>
      <w:r w:rsidR="00F75794" w:rsidRPr="00F75794">
        <w:rPr>
          <w:noProof/>
          <w:lang w:val="en-CA"/>
        </w:rPr>
        <w:t>(Kery and Royle 2020)</w:t>
      </w:r>
      <w:r w:rsidR="00F75794">
        <w:rPr>
          <w:lang w:val="en-CA"/>
        </w:rPr>
        <w:fldChar w:fldCharType="end"/>
      </w:r>
      <w:r>
        <w:rPr>
          <w:lang w:val="en-CA"/>
        </w:rPr>
        <w:t xml:space="preserve">. </w:t>
      </w:r>
      <w:r w:rsidR="00DF3AA7">
        <w:rPr>
          <w:lang w:val="en-CA"/>
        </w:rPr>
        <w:t>False-negative measurement error</w:t>
      </w:r>
      <w:r w:rsidR="006211B6">
        <w:rPr>
          <w:lang w:val="en-CA"/>
        </w:rPr>
        <w:t>s</w:t>
      </w:r>
      <w:r w:rsidR="00DF3AA7">
        <w:rPr>
          <w:lang w:val="en-CA"/>
        </w:rPr>
        <w:t>, i.e.,</w:t>
      </w:r>
      <w:r w:rsidR="006211B6">
        <w:rPr>
          <w:lang w:val="en-CA"/>
        </w:rPr>
        <w:t xml:space="preserve"> the</w:t>
      </w:r>
      <w:r w:rsidR="00DF3AA7">
        <w:rPr>
          <w:lang w:val="en-CA"/>
        </w:rPr>
        <w:t xml:space="preserve"> failure to detect individual</w:t>
      </w:r>
      <w:r w:rsidR="006211B6">
        <w:rPr>
          <w:lang w:val="en-CA"/>
        </w:rPr>
        <w:t>s</w:t>
      </w:r>
      <w:r w:rsidR="00DF3AA7">
        <w:rPr>
          <w:lang w:val="en-CA"/>
        </w:rPr>
        <w:t xml:space="preserve"> that </w:t>
      </w:r>
      <w:r w:rsidR="006211B6">
        <w:rPr>
          <w:lang w:val="en-CA"/>
        </w:rPr>
        <w:t>are</w:t>
      </w:r>
      <w:r w:rsidR="00DF3AA7">
        <w:rPr>
          <w:lang w:val="en-CA"/>
        </w:rPr>
        <w:t xml:space="preserve"> present, </w:t>
      </w:r>
      <w:r w:rsidR="006211B6">
        <w:rPr>
          <w:lang w:val="en-CA"/>
        </w:rPr>
        <w:t>are</w:t>
      </w:r>
      <w:r w:rsidR="00DF3AA7">
        <w:rPr>
          <w:lang w:val="en-CA"/>
        </w:rPr>
        <w:t xml:space="preserve"> likely to be especially rampant </w:t>
      </w:r>
      <w:r w:rsidR="00495E45">
        <w:rPr>
          <w:lang w:val="en-CA"/>
        </w:rPr>
        <w:t>for</w:t>
      </w:r>
      <w:r w:rsidR="00DF3AA7">
        <w:rPr>
          <w:lang w:val="en-CA"/>
        </w:rPr>
        <w:t xml:space="preserve"> </w:t>
      </w:r>
      <w:r w:rsidR="00495E45">
        <w:rPr>
          <w:lang w:val="en-CA"/>
        </w:rPr>
        <w:t xml:space="preserve">insect </w:t>
      </w:r>
      <w:r w:rsidR="00DF3AA7">
        <w:rPr>
          <w:lang w:val="en-CA"/>
        </w:rPr>
        <w:t>count</w:t>
      </w:r>
      <w:r w:rsidR="00495E45">
        <w:rPr>
          <w:lang w:val="en-CA"/>
        </w:rPr>
        <w:t>s</w:t>
      </w:r>
      <w:r w:rsidR="00DF3AA7">
        <w:rPr>
          <w:lang w:val="en-CA"/>
        </w:rPr>
        <w:t xml:space="preserve">. Compared to other taxonomic groups, insects are particularly small and are often highly mobile, making them </w:t>
      </w:r>
      <w:r w:rsidR="00AC580E">
        <w:rPr>
          <w:lang w:val="en-CA"/>
        </w:rPr>
        <w:t>difficult</w:t>
      </w:r>
      <w:r w:rsidR="00DF3AA7">
        <w:rPr>
          <w:lang w:val="en-CA"/>
        </w:rPr>
        <w:t xml:space="preserve"> to </w:t>
      </w:r>
      <w:r w:rsidR="00AC580E">
        <w:rPr>
          <w:lang w:val="en-CA"/>
        </w:rPr>
        <w:t>detect and/or capture</w:t>
      </w:r>
      <w:r w:rsidR="00F75794">
        <w:rPr>
          <w:lang w:val="en-CA"/>
        </w:rPr>
        <w:t xml:space="preserve"> </w:t>
      </w:r>
      <w:r w:rsidR="00F75794">
        <w:rPr>
          <w:lang w:val="en-CA"/>
        </w:rPr>
        <w:fldChar w:fldCharType="begin" w:fldLock="1"/>
      </w:r>
      <w:r w:rsidR="00F75794">
        <w:rPr>
          <w:lang w:val="en-CA"/>
        </w:rPr>
        <w:instrText>ADDIN CSL_CITATION {"citationItems":[{"id":"ITEM-1","itemData":{"DOI":"10.1093/aesa/saaa010","abstract":"Effective monitoring is necessary to provide robust detection of bee declines. In the United States and worldwide, bowl traps have been increasingly used to monitor native bees and purportedly detect declines. However, bowl traps have a suite of flaws that make them poorly equipped to monitor bees. We outline the drawbacks of bowl traps, as well as other passive sampling methods. We emphasize that current methods do not monitor changes in bee abundance. We then propose future approaches to improve bee monitoring efforts, which include improving our understanding of the efficacy and drawbacks of current methods, novel molecular methods, nest censusing, mark-recapture, sampling of focal plant taxa, and detection of range contractions. Overall, we hope to highlight deficiencies of the current state of bee monitoring, with an aim to stimulate research into the efficacy of existing methods and promote novel methods that provide meaningful data that can detect declines without squandering limited resources. Despite increasing and overwhelming evidence of declines in multiple native bee species (Colla and Packer effective monitoring scheme for the approximately 4,000 species of native, wild bees in the United States. Broadly, monitoring requires collecting data on the abundance and/or occurrence of species to determine whether they are declining in abundance over time or whether they are experiencing range contractions. Monitoring can also include detecting changes in ecological interactions, particularly between bees and the plants that depend on them for pollination. For wild bees, three data collection methods are commonly employed in monitoring studies: bowl traps, netting, and nonlethal observations. Increasingly, passive sampling, and bowl traps in particular , have been promoted as a way to detect changes in bee abundance and species occurrence (LeBuhn et al.","author":[{"dropping-particle":"","family":"Portman","given":"Zachary M","non-dropping-particle":"","parse-names":false,"suffix":""},{"dropping-particle":"","family":"Bruninga-Socolar","given":"Bethanne","non-dropping-particle":"","parse-names":false,"suffix":""},{"dropping-particle":"","family":"Cariveau","given":"Daniel P","non-dropping-particle":"","parse-names":false,"suffix":""}],"container-title":"Annals of the Entomological Society of America","id":"ITEM-1","issue":"5","issued":{"date-parts":[["2020"]]},"page":"337-342","title":"The State of Bee Monitoring in the United States: A Call to Refocus Away From Bowl Traps and Towards More Effective Methods","type":"article-journal","volume":"113"},"uris":["http://www.mendeley.com/documents/?uuid=fbde4e46-ffa3-301c-9229-b36cb99ceb11"]}],"mendeley":{"formattedCitation":"(Portman, Bruninga-Socolar, and Cariveau 2020)","plainTextFormattedCitation":"(Portman, Bruninga-Socolar, and Cariveau 2020)","previouslyFormattedCitation":"(Portman, Bruninga-Socolar, and Cariveau 2020)"},"properties":{"noteIndex":0},"schema":"https://github.com/citation-style-language/schema/raw/master/csl-citation.json"}</w:instrText>
      </w:r>
      <w:r w:rsidR="00F75794">
        <w:rPr>
          <w:lang w:val="en-CA"/>
        </w:rPr>
        <w:fldChar w:fldCharType="separate"/>
      </w:r>
      <w:r w:rsidR="00F75794" w:rsidRPr="00F75794">
        <w:rPr>
          <w:noProof/>
          <w:lang w:val="en-CA"/>
        </w:rPr>
        <w:t>(Portman, Bruninga-Socolar, and Cariveau 2020)</w:t>
      </w:r>
      <w:r w:rsidR="00F75794">
        <w:rPr>
          <w:lang w:val="en-CA"/>
        </w:rPr>
        <w:fldChar w:fldCharType="end"/>
      </w:r>
      <w:r w:rsidR="00AC580E">
        <w:rPr>
          <w:lang w:val="en-CA"/>
        </w:rPr>
        <w:t xml:space="preserve">. </w:t>
      </w:r>
      <w:r w:rsidR="00F75794">
        <w:rPr>
          <w:lang w:val="en-CA"/>
        </w:rPr>
        <w:t xml:space="preserve">If false-negatives are commonplace, </w:t>
      </w:r>
      <w:r w:rsidR="00504CC9">
        <w:rPr>
          <w:lang w:val="en-CA"/>
        </w:rPr>
        <w:t>standard</w:t>
      </w:r>
      <w:r w:rsidR="00F75794">
        <w:rPr>
          <w:lang w:val="en-CA"/>
        </w:rPr>
        <w:t xml:space="preserve"> GLM’s will underestimate </w:t>
      </w:r>
      <w:r w:rsidR="00504CC9">
        <w:rPr>
          <w:lang w:val="en-CA"/>
        </w:rPr>
        <w:t xml:space="preserve">the </w:t>
      </w:r>
      <w:r w:rsidR="003B648D">
        <w:rPr>
          <w:lang w:val="en-CA"/>
        </w:rPr>
        <w:t xml:space="preserve">true </w:t>
      </w:r>
      <w:r w:rsidR="00F75794">
        <w:rPr>
          <w:lang w:val="en-CA"/>
        </w:rPr>
        <w:t>abundance</w:t>
      </w:r>
      <w:r w:rsidR="003B648D">
        <w:rPr>
          <w:lang w:val="en-CA"/>
        </w:rPr>
        <w:t xml:space="preserve"> </w:t>
      </w:r>
      <w:r w:rsidR="00504CC9">
        <w:rPr>
          <w:lang w:val="en-CA"/>
        </w:rPr>
        <w:t xml:space="preserve">of insects </w:t>
      </w:r>
      <w:r w:rsidR="00F75794">
        <w:rPr>
          <w:lang w:val="en-CA"/>
        </w:rPr>
        <w:fldChar w:fldCharType="begin" w:fldLock="1"/>
      </w:r>
      <w:r w:rsidR="001B4B31">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and Royle 2020)","plainTextFormattedCitation":"(Kery and Royle 2020)","previouslyFormattedCitation":"(Kery and Royle 2020)"},"properties":{"noteIndex":0},"schema":"https://github.com/citation-style-language/schema/raw/master/csl-citation.json"}</w:instrText>
      </w:r>
      <w:r w:rsidR="00F75794">
        <w:rPr>
          <w:lang w:val="en-CA"/>
        </w:rPr>
        <w:fldChar w:fldCharType="separate"/>
      </w:r>
      <w:r w:rsidR="00F75794" w:rsidRPr="00F75794">
        <w:rPr>
          <w:noProof/>
          <w:lang w:val="en-CA"/>
        </w:rPr>
        <w:t>(Kery and Royle 2020)</w:t>
      </w:r>
      <w:r w:rsidR="00F75794">
        <w:rPr>
          <w:lang w:val="en-CA"/>
        </w:rPr>
        <w:fldChar w:fldCharType="end"/>
      </w:r>
      <w:r w:rsidR="00F75794">
        <w:rPr>
          <w:lang w:val="en-CA"/>
        </w:rPr>
        <w:t xml:space="preserve">. </w:t>
      </w:r>
      <w:r w:rsidR="003B648D">
        <w:rPr>
          <w:lang w:val="en-CA"/>
        </w:rPr>
        <w:t xml:space="preserve">More importantly, systematic variation in detection rates could bias </w:t>
      </w:r>
      <w:r w:rsidR="00EB0575">
        <w:rPr>
          <w:lang w:val="en-CA"/>
        </w:rPr>
        <w:t xml:space="preserve">GLM </w:t>
      </w:r>
      <w:r w:rsidR="003B648D">
        <w:rPr>
          <w:lang w:val="en-CA"/>
        </w:rPr>
        <w:t xml:space="preserve">estimates of the drivers of </w:t>
      </w:r>
      <w:r w:rsidR="00504CC9">
        <w:rPr>
          <w:lang w:val="en-CA"/>
        </w:rPr>
        <w:t xml:space="preserve">insect </w:t>
      </w:r>
      <w:r w:rsidR="003B648D">
        <w:rPr>
          <w:lang w:val="en-CA"/>
        </w:rPr>
        <w:t xml:space="preserve">abundance </w:t>
      </w:r>
      <w:r w:rsidR="004B283D">
        <w:rPr>
          <w:lang w:val="en-CA"/>
        </w:rPr>
        <w:t xml:space="preserve">(Williams et al. 2002). Crucially, GLM’s and their associated sampling protocols assume that the relationship </w:t>
      </w:r>
      <w:r w:rsidR="004B283D">
        <w:rPr>
          <w:lang w:val="en-CA"/>
        </w:rPr>
        <w:lastRenderedPageBreak/>
        <w:t>between snapshot count surveys and true abundance is constant across space, time and species (Williams et al., 2002).</w:t>
      </w:r>
    </w:p>
    <w:p w14:paraId="776C2A99" w14:textId="63EED507" w:rsidR="001B4B31" w:rsidRDefault="00F77580" w:rsidP="00DC1FC4">
      <w:pPr>
        <w:spacing w:line="480" w:lineRule="auto"/>
        <w:ind w:firstLine="720"/>
        <w:rPr>
          <w:lang w:val="en-CA"/>
        </w:rPr>
      </w:pPr>
      <w:r>
        <w:rPr>
          <w:highlight w:val="yellow"/>
          <w:lang w:val="en-CA"/>
        </w:rPr>
        <w:t xml:space="preserve">There are several reasons why insect detection rates could </w:t>
      </w:r>
      <w:r w:rsidR="00EB0575">
        <w:rPr>
          <w:highlight w:val="yellow"/>
          <w:lang w:val="en-CA"/>
        </w:rPr>
        <w:t>vary</w:t>
      </w:r>
      <w:r w:rsidR="003E77CC">
        <w:rPr>
          <w:highlight w:val="yellow"/>
          <w:lang w:val="en-CA"/>
        </w:rPr>
        <w:t xml:space="preserve"> systematically</w:t>
      </w:r>
      <w:r w:rsidR="00FE48DF">
        <w:rPr>
          <w:highlight w:val="yellow"/>
          <w:lang w:val="en-CA"/>
        </w:rPr>
        <w:t xml:space="preserve"> (Box 1)</w:t>
      </w:r>
      <w:r w:rsidR="00BF7474" w:rsidRPr="006211B6">
        <w:rPr>
          <w:highlight w:val="yellow"/>
          <w:lang w:val="en-CA"/>
        </w:rPr>
        <w:t>.</w:t>
      </w:r>
      <w:r w:rsidR="00BF7474">
        <w:rPr>
          <w:lang w:val="en-CA"/>
        </w:rPr>
        <w:t xml:space="preserve"> For example,</w:t>
      </w:r>
      <w:r w:rsidR="00321EE8">
        <w:rPr>
          <w:lang w:val="en-CA"/>
        </w:rPr>
        <w:t xml:space="preserve"> </w:t>
      </w:r>
      <w:r w:rsidR="00C508B4">
        <w:rPr>
          <w:lang w:val="en-CA"/>
        </w:rPr>
        <w:t xml:space="preserve">taller or more complex vegetation </w:t>
      </w:r>
      <w:r w:rsidR="00495E45">
        <w:rPr>
          <w:lang w:val="en-CA"/>
        </w:rPr>
        <w:t>could</w:t>
      </w:r>
      <w:r w:rsidR="00DA12F4">
        <w:rPr>
          <w:lang w:val="en-CA"/>
        </w:rPr>
        <w:t xml:space="preserve"> obscure visibility </w:t>
      </w:r>
      <w:r w:rsidR="00985F89">
        <w:rPr>
          <w:lang w:val="en-CA"/>
        </w:rPr>
        <w:t>and</w:t>
      </w:r>
      <w:r w:rsidR="00DA12F4">
        <w:rPr>
          <w:lang w:val="en-CA"/>
        </w:rPr>
        <w:t xml:space="preserve"> change the mobility or trap propensity of insects (ref)</w:t>
      </w:r>
      <w:r w:rsidR="009A7307">
        <w:rPr>
          <w:lang w:val="en-CA"/>
        </w:rPr>
        <w:t xml:space="preserve">. </w:t>
      </w:r>
      <w:r w:rsidR="00DA12F4">
        <w:rPr>
          <w:lang w:val="en-CA"/>
        </w:rPr>
        <w:t>Alternatively</w:t>
      </w:r>
      <w:r w:rsidR="00504CC9">
        <w:rPr>
          <w:lang w:val="en-CA"/>
        </w:rPr>
        <w:t xml:space="preserve">, </w:t>
      </w:r>
      <w:r w:rsidR="00DA12F4">
        <w:rPr>
          <w:lang w:val="en-CA"/>
        </w:rPr>
        <w:t>data collectors could improve their collecting skill or efficiency over time (ref)</w:t>
      </w:r>
      <w:r w:rsidR="00504CC9">
        <w:rPr>
          <w:lang w:val="en-CA"/>
        </w:rPr>
        <w:t xml:space="preserve">. </w:t>
      </w:r>
      <w:r w:rsidR="001B4B31">
        <w:rPr>
          <w:lang w:val="en-CA"/>
        </w:rPr>
        <w:t xml:space="preserve">Species traits could </w:t>
      </w:r>
      <w:r w:rsidR="00DA12F4">
        <w:rPr>
          <w:lang w:val="en-CA"/>
        </w:rPr>
        <w:t>create further variation in</w:t>
      </w:r>
      <w:r w:rsidR="001B4B31">
        <w:rPr>
          <w:lang w:val="en-CA"/>
        </w:rPr>
        <w:t xml:space="preserve"> detection rate. </w:t>
      </w:r>
      <w:r w:rsidR="00DA12F4">
        <w:rPr>
          <w:lang w:val="en-CA"/>
        </w:rPr>
        <w:t>For example, b</w:t>
      </w:r>
      <w:r w:rsidR="00504CC9">
        <w:rPr>
          <w:lang w:val="en-CA"/>
        </w:rPr>
        <w:t xml:space="preserve">utterfly colouration and feature diversity patterns </w:t>
      </w:r>
      <w:r w:rsidR="001B4B31">
        <w:rPr>
          <w:lang w:val="en-CA"/>
        </w:rPr>
        <w:t>have been linked to</w:t>
      </w:r>
      <w:r w:rsidR="00504CC9">
        <w:rPr>
          <w:lang w:val="en-CA"/>
        </w:rPr>
        <w:t xml:space="preserve"> ease of </w:t>
      </w:r>
      <w:r w:rsidR="001B4B31">
        <w:rPr>
          <w:lang w:val="en-CA"/>
        </w:rPr>
        <w:t xml:space="preserve">detection </w:t>
      </w:r>
      <w:r w:rsidR="001B4B31">
        <w:rPr>
          <w:lang w:val="en-CA"/>
        </w:rPr>
        <w:fldChar w:fldCharType="begin" w:fldLock="1"/>
      </w:r>
      <w:r w:rsidR="001B4B31">
        <w:rPr>
          <w:lang w:val="en-CA"/>
        </w:rPr>
        <w:instrText>ADDIN CSL_CITATION {"citationItems":[{"id":"ITEM-1","itemData":{"DOI":"10.1002/FEE.2783","ISSN":"15409309","abstract":"The volume of and interest in unstructured participatory science data has increased dramatically in recent years. However, unstructured participatory science data contain taxonomic biases—encounters with some species are more likely to be reported than encounters with others. Taxonomic biases are driven by human preferences for different species and by logistical factors that make observing certain species challenging. We investigated taxonomic bias in reports of butterflies by characterizing differences between a dedicated participatory semi-structured dataset, eButterfly, and a popular unstructured dataset, iNaturalist, in spatiotemporally explicit models. Across 194 butterfly species, we found that 53 species were overreported and 34 species were underreported in opportunistic data. Ease of identification and feature diversity were significantly associated with overreporting in opportunistic sampling, and strong patterns in overreporting by family were also detected. Quantifying taxonomic biases not only helps us understand how humans engage with nature but also is necessary to generate robust inference from unstructured participatory data.","author":[{"dropping-particle":"","family":"Goldstein","given":"Benjamin R.","non-dropping-particle":"","parse-names":false,"suffix":""},{"dropping-particle":"","family":"Stoudt","given":"Sara","non-dropping-particle":"","parse-names":false,"suffix":""},{"dropping-particle":"","family":"Lewthwaite","given":"Jayme M.M.","non-dropping-particle":"","parse-names":false,"suffix":""},{"dropping-particle":"","family":"Shirey","given":"Vaughn","non-dropping-particle":"","parse-names":false,"suffix":""},{"dropping-particle":"","family":"Mendoza","given":"Eros","non-dropping-particle":"","parse-names":false,"suffix":""},{"dropping-particle":"","family":"Guzman","given":"Laura Melissa","non-dropping-particle":"","parse-names":false,"suffix":""}],"container-title":"Frontiers in Ecology and the Environment","id":"ITEM-1","issued":{"date-parts":[["2024","10","1"]]},"publisher":"John Wiley and Sons Inc","title":"Logistical and preference bias in participatory science butterfly data","type":"article-journal"},"uris":["http://www.mendeley.com/documents/?uuid=e1aaed15-b263-3923-8d4d-d4327d2ba890"]}],"mendeley":{"formattedCitation":"(Goldstein et al. 2024)","plainTextFormattedCitation":"(Goldstein et al. 2024)","previouslyFormattedCitation":"(Goldstein et al. 2024)"},"properties":{"noteIndex":0},"schema":"https://github.com/citation-style-language/schema/raw/master/csl-citation.json"}</w:instrText>
      </w:r>
      <w:r w:rsidR="001B4B31">
        <w:rPr>
          <w:lang w:val="en-CA"/>
        </w:rPr>
        <w:fldChar w:fldCharType="separate"/>
      </w:r>
      <w:r w:rsidR="001B4B31" w:rsidRPr="001B4B31">
        <w:rPr>
          <w:noProof/>
          <w:lang w:val="en-CA"/>
        </w:rPr>
        <w:t>(Goldstein et al. 2024)</w:t>
      </w:r>
      <w:r w:rsidR="001B4B31">
        <w:rPr>
          <w:lang w:val="en-CA"/>
        </w:rPr>
        <w:fldChar w:fldCharType="end"/>
      </w:r>
      <w:r w:rsidR="001B4B31">
        <w:rPr>
          <w:lang w:val="en-CA"/>
        </w:rPr>
        <w:t>.</w:t>
      </w:r>
      <w:r w:rsidR="00DA12F4">
        <w:rPr>
          <w:lang w:val="en-CA"/>
        </w:rPr>
        <w:t xml:space="preserve"> Larger insects could </w:t>
      </w:r>
      <w:r w:rsidR="003057A7">
        <w:rPr>
          <w:lang w:val="en-CA"/>
        </w:rPr>
        <w:t xml:space="preserve">also </w:t>
      </w:r>
      <w:r w:rsidR="00DA12F4">
        <w:rPr>
          <w:lang w:val="en-CA"/>
        </w:rPr>
        <w:t>be easier to detect compared to smaller insects. Among wild bees,</w:t>
      </w:r>
      <w:r w:rsidR="00504CC9">
        <w:rPr>
          <w:lang w:val="en-CA"/>
        </w:rPr>
        <w:t xml:space="preserve"> </w:t>
      </w:r>
      <w:r w:rsidR="00DA12F4">
        <w:rPr>
          <w:lang w:val="en-CA"/>
        </w:rPr>
        <w:t xml:space="preserve">species can range in size of _ up to _, a _ order of magnitude difference </w:t>
      </w:r>
      <w:r w:rsidR="00DA12F4">
        <w:rPr>
          <w:lang w:val="en-CA"/>
        </w:rPr>
        <w:fldChar w:fldCharType="begin" w:fldLock="1"/>
      </w:r>
      <w:r w:rsidR="00DA12F4">
        <w:rPr>
          <w:lang w:val="en-CA"/>
        </w:rPr>
        <w:instrText>ADDIN CSL_CITATION {"citationItems":[{"id":"ITEM-1","itemData":{"author":[{"dropping-particle":"","family":"Danforth","given":"B","non-dropping-particle":"","parse-names":false,"suffix":""},{"dropping-particle":"","family":"Minckley","given":"R","non-dropping-particle":"","parse-names":false,"suffix":""},{"dropping-particle":"","family":"Neff","given":"J","non-dropping-particle":"","parse-names":false,"suffix":""}],"id":"ITEM-1","issued":{"date-parts":[["2019"]]},"publisher":"Princeton University Press","title":"The solitary bees: biology, evolution, conservation","type":"book"},"uris":["http://www.mendeley.com/documents/?uuid=567cd9db-3ae6-4f77-aac3-47f141a9e234"]}],"mendeley":{"formattedCitation":"(Danforth, Minckley, and Neff 2019)","plainTextFormattedCitation":"(Danforth, Minckley, and Neff 2019)","previouslyFormattedCitation":"(Danforth, Minckley, and Neff 2019)"},"properties":{"noteIndex":0},"schema":"https://github.com/citation-style-language/schema/raw/master/csl-citation.json"}</w:instrText>
      </w:r>
      <w:r w:rsidR="00DA12F4">
        <w:rPr>
          <w:lang w:val="en-CA"/>
        </w:rPr>
        <w:fldChar w:fldCharType="separate"/>
      </w:r>
      <w:r w:rsidR="00DA12F4" w:rsidRPr="001B4B31">
        <w:rPr>
          <w:noProof/>
          <w:lang w:val="en-CA"/>
        </w:rPr>
        <w:t>(Danforth, Minckley, and Neff 2019)</w:t>
      </w:r>
      <w:r w:rsidR="00DA12F4">
        <w:rPr>
          <w:lang w:val="en-CA"/>
        </w:rPr>
        <w:fldChar w:fldCharType="end"/>
      </w:r>
      <w:r w:rsidR="00DA12F4">
        <w:rPr>
          <w:lang w:val="en-CA"/>
        </w:rPr>
        <w:t xml:space="preserve">. </w:t>
      </w:r>
      <w:r w:rsidR="001B4B31">
        <w:rPr>
          <w:lang w:val="en-CA"/>
        </w:rPr>
        <w:t>Additionally, wide</w:t>
      </w:r>
      <w:r w:rsidR="00DA12F4">
        <w:rPr>
          <w:lang w:val="en-CA"/>
        </w:rPr>
        <w:t xml:space="preserve"> variation in mobility</w:t>
      </w:r>
      <w:r w:rsidR="001B4B31">
        <w:rPr>
          <w:lang w:val="en-CA"/>
        </w:rPr>
        <w:t xml:space="preserve"> </w:t>
      </w:r>
      <w:r w:rsidR="001B4B31">
        <w:rPr>
          <w:lang w:val="en-CA"/>
        </w:rPr>
        <w:fldChar w:fldCharType="begin" w:fldLock="1"/>
      </w:r>
      <w:r w:rsidR="003E77CC">
        <w:rPr>
          <w:lang w:val="en-CA"/>
        </w:rPr>
        <w:instrText>ADDIN CSL_CITATION {"citationItems":[{"id":"ITEM-1","itemData":{"DOI":"10.1007/s00442-007-0752-9","ISBN":"0044200707529","abstract":"Bees are the most important pollinator taxon; therefore, understanding the scale at which they forage has important ecological implications and conservation applications. The foraging ranges for most bee species are unknown. Foraging distance information is critical for understanding the scale at which bee populations respond to the landscape, assessing the role of bee pollinators in aVecting plant population structure, planning conservation strategies for plants, and designing bee habitat refugia that maintain pollination function for wild and crop plants. We used data from 96 records of 62 bee species to determine whether body size predicts foraging distance. We regressed maximum and typical foraging distances on body size and found highly signiWcant and explanatory nonlinear relationships. We used a second data set to: (1) compare observed reports of foraging distance to the distances predicted by our regression equations and (2) assess the biases inherent to the diVerent techniques that have been used to assess foraging distance. The equations we present can be used to predict foraging distances for many bee species, based on a simple measurement of body size.","author":[{"dropping-particle":"","family":"Greenleaf","given":"S.","non-dropping-particle":"","parse-names":false,"suffix":""},{"dropping-particle":"","family":"Williams","given":"N.","non-dropping-particle":"","parse-names":false,"suffix":""},{"dropping-particle":"","family":"Winfree","given":"R.","non-dropping-particle":"","parse-names":false,"suffix":""},{"dropping-particle":"","family":"Kremen","given":"C.","non-dropping-particle":"","parse-names":false,"suffix":""}],"container-title":"Oecologia","id":"ITEM-1","issued":{"date-parts":[["2007"]]},"page":"589-596","title":"Bee foraging ranges and their relationship to body size","type":"article-journal","volume":"153"},"uris":["http://www.mendeley.com/documents/?uuid=281e2c51-18df-3c41-a793-0c5184f8b5e6"]}],"mendeley":{"formattedCitation":"(Greenleaf et al. 2007)","plainTextFormattedCitation":"(Greenleaf et al. 2007)","previouslyFormattedCitation":"(Greenleaf et al. 2007)"},"properties":{"noteIndex":0},"schema":"https://github.com/citation-style-language/schema/raw/master/csl-citation.json"}</w:instrText>
      </w:r>
      <w:r w:rsidR="001B4B31">
        <w:rPr>
          <w:lang w:val="en-CA"/>
        </w:rPr>
        <w:fldChar w:fldCharType="separate"/>
      </w:r>
      <w:r w:rsidR="001B4B31" w:rsidRPr="001B4B31">
        <w:rPr>
          <w:noProof/>
          <w:lang w:val="en-CA"/>
        </w:rPr>
        <w:t>(Greenleaf et al. 2007)</w:t>
      </w:r>
      <w:r w:rsidR="001B4B31">
        <w:rPr>
          <w:lang w:val="en-CA"/>
        </w:rPr>
        <w:fldChar w:fldCharType="end"/>
      </w:r>
      <w:r w:rsidR="00DA12F4">
        <w:rPr>
          <w:lang w:val="en-CA"/>
        </w:rPr>
        <w:t xml:space="preserve"> </w:t>
      </w:r>
      <w:r w:rsidR="001B4B31">
        <w:rPr>
          <w:lang w:val="en-CA"/>
        </w:rPr>
        <w:t xml:space="preserve">could influence detection rate. </w:t>
      </w:r>
      <w:r w:rsidR="00DC1FC4" w:rsidRPr="00985F89">
        <w:rPr>
          <w:highlight w:val="yellow"/>
          <w:lang w:val="en-CA"/>
        </w:rPr>
        <w:t>These spatial, temporal and taxonomic detection biases have the potential to confound estimates of ecological drivers of abundance</w:t>
      </w:r>
      <w:r w:rsidR="00DC1FC4">
        <w:rPr>
          <w:lang w:val="en-CA"/>
        </w:rPr>
        <w:t xml:space="preserve"> </w:t>
      </w:r>
      <w:r w:rsidR="003E77CC">
        <w:rPr>
          <w:lang w:val="en-CA"/>
        </w:rPr>
        <w:fldChar w:fldCharType="begin" w:fldLock="1"/>
      </w:r>
      <w:r w:rsidR="00B512B6">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and Royle 2020)","plainTextFormattedCitation":"(Kery and Royle 2020)","previouslyFormattedCitation":"(Kery and Royle 2020)"},"properties":{"noteIndex":0},"schema":"https://github.com/citation-style-language/schema/raw/master/csl-citation.json"}</w:instrText>
      </w:r>
      <w:r w:rsidR="003E77CC">
        <w:rPr>
          <w:lang w:val="en-CA"/>
        </w:rPr>
        <w:fldChar w:fldCharType="separate"/>
      </w:r>
      <w:r w:rsidR="003E77CC" w:rsidRPr="003E77CC">
        <w:rPr>
          <w:noProof/>
          <w:lang w:val="en-CA"/>
        </w:rPr>
        <w:t>(Kery and Royle 2020)</w:t>
      </w:r>
      <w:r w:rsidR="003E77CC">
        <w:rPr>
          <w:lang w:val="en-CA"/>
        </w:rPr>
        <w:fldChar w:fldCharType="end"/>
      </w:r>
      <w:r w:rsidR="003E77CC">
        <w:rPr>
          <w:lang w:val="en-CA"/>
        </w:rPr>
        <w:t xml:space="preserve">. </w:t>
      </w:r>
      <w:r w:rsidR="003E77CC" w:rsidRPr="003E77CC">
        <w:rPr>
          <w:lang w:val="en-CA"/>
        </w:rPr>
        <w:t xml:space="preserve">For example, </w:t>
      </w:r>
      <w:r w:rsidR="00DA12F4">
        <w:rPr>
          <w:lang w:val="en-CA"/>
        </w:rPr>
        <w:t>a positive effect of a habitat type on detection rate could cause GLM’s to overestimate the effect of that habitat type on abundance</w:t>
      </w:r>
      <w:r w:rsidR="00985F89">
        <w:rPr>
          <w:lang w:val="en-CA"/>
        </w:rPr>
        <w:t xml:space="preserve"> </w:t>
      </w:r>
      <w:r w:rsidR="00985F89">
        <w:rPr>
          <w:lang w:val="en-CA"/>
        </w:rPr>
        <w:fldChar w:fldCharType="begin" w:fldLock="1"/>
      </w:r>
      <w:r w:rsidR="00985F89">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and Royle 2020)","plainTextFormattedCitation":"(Kery and Royle 2020)","previouslyFormattedCitation":"(Kery and Royle 2020)"},"properties":{"noteIndex":0},"schema":"https://github.com/citation-style-language/schema/raw/master/csl-citation.json"}</w:instrText>
      </w:r>
      <w:r w:rsidR="00985F89">
        <w:rPr>
          <w:lang w:val="en-CA"/>
        </w:rPr>
        <w:fldChar w:fldCharType="separate"/>
      </w:r>
      <w:r w:rsidR="00985F89" w:rsidRPr="003E77CC">
        <w:rPr>
          <w:noProof/>
          <w:lang w:val="en-CA"/>
        </w:rPr>
        <w:t>(Kery and Royle 2020)</w:t>
      </w:r>
      <w:r w:rsidR="00985F89">
        <w:rPr>
          <w:lang w:val="en-CA"/>
        </w:rPr>
        <w:fldChar w:fldCharType="end"/>
      </w:r>
      <w:r w:rsidR="003E77CC" w:rsidRPr="003E77CC">
        <w:rPr>
          <w:lang w:val="en-CA"/>
        </w:rPr>
        <w:t>.</w:t>
      </w:r>
      <w:r w:rsidR="003E77CC">
        <w:rPr>
          <w:lang w:val="en-CA"/>
        </w:rPr>
        <w:t xml:space="preserve"> </w:t>
      </w:r>
      <w:r w:rsidR="001B4B31">
        <w:rPr>
          <w:lang w:val="en-CA"/>
        </w:rPr>
        <w:t xml:space="preserve">Despite the strong potential for </w:t>
      </w:r>
      <w:r w:rsidR="003E77CC">
        <w:rPr>
          <w:lang w:val="en-CA"/>
        </w:rPr>
        <w:t xml:space="preserve">variation in </w:t>
      </w:r>
      <w:r w:rsidR="001B4B31">
        <w:rPr>
          <w:lang w:val="en-CA"/>
        </w:rPr>
        <w:t xml:space="preserve">insect detection rates to </w:t>
      </w:r>
      <w:r w:rsidR="00985F89">
        <w:rPr>
          <w:lang w:val="en-CA"/>
        </w:rPr>
        <w:t>bias GLM estimates of the drivers of insect</w:t>
      </w:r>
      <w:r w:rsidR="003E77CC">
        <w:rPr>
          <w:lang w:val="en-CA"/>
        </w:rPr>
        <w:t xml:space="preserve"> abundance</w:t>
      </w:r>
      <w:r w:rsidR="001B4B31">
        <w:rPr>
          <w:lang w:val="en-CA"/>
        </w:rPr>
        <w:t xml:space="preserve">, there is currently limited </w:t>
      </w:r>
      <w:r w:rsidR="00B512B6">
        <w:rPr>
          <w:lang w:val="en-CA"/>
        </w:rPr>
        <w:t>guidance</w:t>
      </w:r>
      <w:r w:rsidR="001B4B31">
        <w:rPr>
          <w:lang w:val="en-CA"/>
        </w:rPr>
        <w:t xml:space="preserve"> on </w:t>
      </w:r>
      <w:r w:rsidR="00985F89">
        <w:rPr>
          <w:lang w:val="en-CA"/>
        </w:rPr>
        <w:t>if or when other approaches should be considered</w:t>
      </w:r>
      <w:r w:rsidR="00DA12F4">
        <w:rPr>
          <w:lang w:val="en-CA"/>
        </w:rPr>
        <w:t>.</w:t>
      </w:r>
      <w:r w:rsidR="001B4B31">
        <w:rPr>
          <w:lang w:val="en-CA"/>
        </w:rPr>
        <w:t xml:space="preserve"> </w:t>
      </w:r>
    </w:p>
    <w:p w14:paraId="04A0FC65" w14:textId="1CE3989C" w:rsidR="00066428" w:rsidRDefault="00437C2E" w:rsidP="00B77D8E">
      <w:pPr>
        <w:spacing w:line="480" w:lineRule="auto"/>
        <w:ind w:firstLine="720"/>
        <w:rPr>
          <w:lang w:val="en-CA"/>
        </w:rPr>
      </w:pPr>
      <w:r>
        <w:rPr>
          <w:highlight w:val="yellow"/>
          <w:lang w:val="en-CA"/>
        </w:rPr>
        <w:t xml:space="preserve">Many different statistical models and associated sampling protocols have been developed to </w:t>
      </w:r>
      <w:r w:rsidR="00D50519" w:rsidRPr="00B9052B">
        <w:rPr>
          <w:highlight w:val="yellow"/>
          <w:lang w:val="en-CA"/>
        </w:rPr>
        <w:t>estimat</w:t>
      </w:r>
      <w:r>
        <w:rPr>
          <w:highlight w:val="yellow"/>
          <w:lang w:val="en-CA"/>
        </w:rPr>
        <w:t>e</w:t>
      </w:r>
      <w:r w:rsidR="00D50519" w:rsidRPr="00B9052B">
        <w:rPr>
          <w:highlight w:val="yellow"/>
          <w:lang w:val="en-CA"/>
        </w:rPr>
        <w:t xml:space="preserve"> the underlying drivers of abundance</w:t>
      </w:r>
      <w:r>
        <w:rPr>
          <w:highlight w:val="yellow"/>
          <w:lang w:val="en-CA"/>
        </w:rPr>
        <w:t xml:space="preserve"> while accounting for imperfect detection.</w:t>
      </w:r>
      <w:r w:rsidRPr="00437C2E">
        <w:rPr>
          <w:lang w:val="en-CA"/>
        </w:rPr>
        <w:t xml:space="preserve"> </w:t>
      </w:r>
      <w:r w:rsidR="004C5BB9">
        <w:rPr>
          <w:lang w:val="en-CA"/>
        </w:rPr>
        <w:t xml:space="preserve">For decades, </w:t>
      </w:r>
      <w:r>
        <w:rPr>
          <w:lang w:val="en-CA"/>
        </w:rPr>
        <w:t xml:space="preserve">mark-recapture methods </w:t>
      </w:r>
      <w:r w:rsidR="00B512B6">
        <w:rPr>
          <w:lang w:val="en-CA"/>
        </w:rPr>
        <w:t xml:space="preserve">have been used for this purpose </w:t>
      </w:r>
      <w:r w:rsidR="004C5BB9">
        <w:rPr>
          <w:lang w:val="en-CA"/>
        </w:rPr>
        <w:fldChar w:fldCharType="begin" w:fldLock="1"/>
      </w:r>
      <w:r w:rsidR="004C5BB9">
        <w:rPr>
          <w:lang w:val="en-CA"/>
        </w:rPr>
        <w:instrText>ADDIN CSL_CITATION {"citationItems":[{"id":"ITEM-1","itemData":{"author":[{"dropping-particle":"","family":"Lincoln","given":"F. C.","non-dropping-particle":"","parse-names":false,"suffix":""}],"id":"ITEM-1","issued":{"date-parts":[["1930"]]},"number-of-pages":"Circular 118","publisher-place":"Washington DC","title":"Calculating waterfowl abundance on the basis of banding returns","type":"report"},"uris":["http://www.mendeley.com/documents/?uuid=9585001d-7782-4d33-8e17-94e17f890ab0"]}],"mendeley":{"formattedCitation":"(Lincoln 1930)","plainTextFormattedCitation":"(Lincoln 1930)","previouslyFormattedCitation":"(Lincoln 1930)"},"properties":{"noteIndex":0},"schema":"https://github.com/citation-style-language/schema/raw/master/csl-citation.json"}</w:instrText>
      </w:r>
      <w:r w:rsidR="004C5BB9">
        <w:rPr>
          <w:lang w:val="en-CA"/>
        </w:rPr>
        <w:fldChar w:fldCharType="separate"/>
      </w:r>
      <w:r w:rsidR="004C5BB9" w:rsidRPr="004C5BB9">
        <w:rPr>
          <w:noProof/>
          <w:lang w:val="en-CA"/>
        </w:rPr>
        <w:t>(Lincoln 1930)</w:t>
      </w:r>
      <w:r w:rsidR="004C5BB9">
        <w:rPr>
          <w:lang w:val="en-CA"/>
        </w:rPr>
        <w:fldChar w:fldCharType="end"/>
      </w:r>
      <w:r w:rsidR="00B512B6">
        <w:rPr>
          <w:lang w:val="en-CA"/>
        </w:rPr>
        <w:t>, including for insects</w:t>
      </w:r>
      <w:r w:rsidR="004C5BB9">
        <w:rPr>
          <w:lang w:val="en-CA"/>
        </w:rPr>
        <w:t xml:space="preserve"> such as butterflies and bees</w:t>
      </w:r>
      <w:r w:rsidR="00B512B6">
        <w:rPr>
          <w:lang w:val="en-CA"/>
        </w:rPr>
        <w:t xml:space="preserve"> </w:t>
      </w:r>
      <w:r w:rsidR="00B512B6">
        <w:rPr>
          <w:lang w:val="en-CA"/>
        </w:rPr>
        <w:fldChar w:fldCharType="begin" w:fldLock="1"/>
      </w:r>
      <w:r w:rsidR="004C5BB9">
        <w:rPr>
          <w:lang w:val="en-CA"/>
        </w:rPr>
        <w:instrText>ADDIN CSL_CITATION {"citationItems":[{"id":"ITEM-1","itemData":{"DOI":"10.1111/J.1523-1739.2008.00932.X","ISSN":"08888892","PMID":"18477025","abstract":"Determining population viability of rare insects depends on precise, unbiased estimates of population size and other demographic parameters. We used data on the endangered St. Francis' satyr butterfly (Neonympha mitchellii francisci) to evaluate 2 approaches (mark-recapture and transect counts) for population analysis of rare butterflies. Mark-recapture analysis provided by far the greatest amount of demographic information, including estimates (and standard errors) of population size, detection, survival, and recruitment probabilities. Mark-recapture analysis can also be used to estimate dispersal and temporal variation in rates, although we did not do this here. Models of seasonal flight phenologies derived from transect counts (Insect Count Analyzer) provided an index of population size and estimates of survival and statistical uncertainty. Pollard-Yates population indices derived from transect counts did not provide estimates of demographic parameters. This index may be highly biased if detection and survival probabilities vary spatially and temporally. In terms of statistical performance, mark-recapture and Pollard-Yates indices were least variable. Mark-recapture estimates were less likely to fail than Insect Count Analyzer, but mark-recapture estimates became less precise as sampling intensity decreased. In general, count-based approaches are less costly and less likely to cause harm to rare insects than mark-recapture. The optimal monitoring approach must reconcile these trade-offs. Thus, mark-recapture should be favored when demographic estimates are needed, when financial resources enable frequent sampling, and when marking does not harm the insect populations. The optimal sampling strategy may use 2 sampling methods together in 1 overall sampling plan: limited mark-recapture sampling to estimate survival and detection probabilities and frequent but less expensive transect counts. © 2008 Society for Conservation Biology.","author":[{"dropping-particle":"","family":"Haddad","given":"Nick M.","non-dropping-particle":"","parse-names":false,"suffix":""},{"dropping-particle":"","family":"Hudgens","given":"Brian","non-dropping-particle":"","parse-names":false,"suffix":""},{"dropping-particle":"","family":"Damiani","given":"Chris","non-dropping-particle":"","parse-names":false,"suffix":""},{"dropping-particle":"","family":"Gross","given":"Kevin","non-dropping-particle":"","parse-names":false,"suffix":""},{"dropping-particle":"","family":"Kuefler","given":"Daniel","non-dropping-particle":"","parse-names":false,"suffix":""},{"dropping-particle":"","family":"Pollock","given":"Ken","non-dropping-particle":"","parse-names":false,"suffix":""}],"container-title":"Conservation Biology","id":"ITEM-1","issue":"4","issued":{"date-parts":[["2008","8"]]},"page":"929-940","title":"Determining optimal population monitoring for rare butterflies","type":"article-journal","volume":"22"},"uris":["http://www.mendeley.com/documents/?uuid=98cafc03-90ee-3d1c-97b5-64422b5f4e06"]},{"id":"ITEM-2","itemData":{"DOI":"10.1007/s13592-022-00919-4","ISBN":"0123456789","abstract":"Wild bees can be essential pollinators in natural, agricultural, and urban systems, but populations of some species have declined. Efforts to assess the status of wild bees are hindered by uncertainty in common sampling methods, such as pan traps and aerial netting, which may or may not provide a valid index of abundance across species and habitats. Mark-recapture methods are a common and effective means of estimating population size, widely used in vertebrates but rarely applied to bees. Here we review existing mark-recapture studies of wild bees and present a new case study comparing mark-recapture population estimates to pan trap and net capture for four taxa in a wild bee community. Net, but not trap, capture was correlated with abundance estimates across sites and taxa. Logistical limitations ensure that mark-recapture studies will not fully replace other bee sampling methods, but they do provide a feasible way to monitor selected species and measure the performance of other sampling methods. apoidea / mark-recapture / abundance estimation / bee monitoring / pan traps","author":[{"dropping-particle":"","family":"Briggs","given":"Emma L","non-dropping-particle":"","parse-names":false,"suffix":""},{"dropping-particle":"","family":"Baranski","given":"Christopher","non-dropping-particle":"","parse-names":false,"suffix":""},{"dropping-particle":"","family":"Schaetz","given":"Olivia Münzer","non-dropping-particle":"","parse-names":false,"suffix":""},{"dropping-particle":"","family":"Garrison","given":"Gabriela","non-dropping-particle":"","parse-names":false,"suffix":""},{"dropping-particle":"","family":"Collazo","given":"Jaime A","non-dropping-particle":"","parse-names":false,"suffix":""},{"dropping-particle":"","family":"Youngsteadt","given":"Elsa","non-dropping-particle":"","parse-names":false,"suffix":""}],"container-title":"Apidologie","id":"ITEM-2","issue":"1","issued":{"date-parts":[["2022"]]},"page":"10","title":"Estimating bee abundance: can mark-recapture methods validate common sampling protocols?","type":"article-journal","volume":"53"},"uris":["http://www.mendeley.com/documents/?uuid=dc7623db-e320-3c70-896f-622c8108e5be"]}],"mendeley":{"formattedCitation":"(Haddad et al. 2008; Briggs et al. 2022)","plainTextFormattedCitation":"(Haddad et al. 2008; Briggs et al. 2022)","previouslyFormattedCitation":"(Haddad et al. 2008; Briggs et al. 2022)"},"properties":{"noteIndex":0},"schema":"https://github.com/citation-style-language/schema/raw/master/csl-citation.json"}</w:instrText>
      </w:r>
      <w:r w:rsidR="00B512B6">
        <w:rPr>
          <w:lang w:val="en-CA"/>
        </w:rPr>
        <w:fldChar w:fldCharType="separate"/>
      </w:r>
      <w:r w:rsidR="004C5BB9" w:rsidRPr="004C5BB9">
        <w:rPr>
          <w:noProof/>
          <w:lang w:val="en-CA"/>
        </w:rPr>
        <w:t>(Haddad et al. 2008; Briggs et al. 2022)</w:t>
      </w:r>
      <w:r w:rsidR="00B512B6">
        <w:rPr>
          <w:lang w:val="en-CA"/>
        </w:rPr>
        <w:fldChar w:fldCharType="end"/>
      </w:r>
      <w:r>
        <w:rPr>
          <w:lang w:val="en-CA"/>
        </w:rPr>
        <w:t xml:space="preserve">. </w:t>
      </w:r>
      <w:r w:rsidR="00DA12F4">
        <w:rPr>
          <w:lang w:val="en-CA"/>
        </w:rPr>
        <w:t>Mark-reca</w:t>
      </w:r>
      <w:r w:rsidR="0062636E">
        <w:rPr>
          <w:lang w:val="en-CA"/>
        </w:rPr>
        <w:t>p</w:t>
      </w:r>
      <w:r w:rsidR="00DA12F4">
        <w:rPr>
          <w:lang w:val="en-CA"/>
        </w:rPr>
        <w:t>ture</w:t>
      </w:r>
      <w:r>
        <w:rPr>
          <w:lang w:val="en-CA"/>
        </w:rPr>
        <w:t xml:space="preserve"> </w:t>
      </w:r>
      <w:r w:rsidR="0004132B">
        <w:rPr>
          <w:lang w:val="en-CA"/>
        </w:rPr>
        <w:t xml:space="preserve">methods </w:t>
      </w:r>
      <w:r w:rsidR="0062636E">
        <w:rPr>
          <w:lang w:val="en-CA"/>
        </w:rPr>
        <w:t>infer the total number of species that are present using</w:t>
      </w:r>
      <w:r>
        <w:rPr>
          <w:lang w:val="en-CA"/>
        </w:rPr>
        <w:t xml:space="preserve"> information about the proportion of marked individuals that are re-detected versus the number of unmarked individuals that are </w:t>
      </w:r>
      <w:r w:rsidR="0004132B">
        <w:rPr>
          <w:lang w:val="en-CA"/>
        </w:rPr>
        <w:t xml:space="preserve">newly </w:t>
      </w:r>
      <w:r>
        <w:rPr>
          <w:lang w:val="en-CA"/>
        </w:rPr>
        <w:t xml:space="preserve">detected over a series of </w:t>
      </w:r>
      <w:r w:rsidR="0004132B">
        <w:rPr>
          <w:lang w:val="en-CA"/>
        </w:rPr>
        <w:t>sampling occasions</w:t>
      </w:r>
      <w:r w:rsidR="00163E2E">
        <w:rPr>
          <w:lang w:val="en-CA"/>
        </w:rPr>
        <w:t>.</w:t>
      </w:r>
      <w:r w:rsidR="00BE083F">
        <w:rPr>
          <w:lang w:val="en-CA"/>
        </w:rPr>
        <w:t xml:space="preserve"> M</w:t>
      </w:r>
      <w:r w:rsidR="00804766">
        <w:rPr>
          <w:lang w:val="en-CA"/>
        </w:rPr>
        <w:t xml:space="preserve">ark-recapture </w:t>
      </w:r>
      <w:r w:rsidR="00B77D8E">
        <w:rPr>
          <w:lang w:val="en-CA"/>
        </w:rPr>
        <w:t xml:space="preserve">models are fit to capture history data for single species within single sites, often using the prepackaged accessible software </w:t>
      </w:r>
      <w:r w:rsidR="00B77D8E">
        <w:rPr>
          <w:lang w:val="en-CA"/>
        </w:rPr>
        <w:lastRenderedPageBreak/>
        <w:t>Program MARK (White and Burnham 1999 ADD REF)</w:t>
      </w:r>
      <w:r w:rsidR="00BE083F">
        <w:rPr>
          <w:lang w:val="en-CA"/>
        </w:rPr>
        <w:t xml:space="preserve">. For example, with wild bee abundance estimated independently for each species at each of a handful of study sites </w:t>
      </w:r>
      <w:r w:rsidR="00BE083F">
        <w:rPr>
          <w:lang w:val="en-CA"/>
        </w:rPr>
        <w:fldChar w:fldCharType="begin" w:fldLock="1"/>
      </w:r>
      <w:r w:rsidR="00BE083F">
        <w:rPr>
          <w:lang w:val="en-CA"/>
        </w:rPr>
        <w:instrText>ADDIN CSL_CITATION {"citationItems":[{"id":"ITEM-1","itemData":{"DOI":"10.1007/s13592-022-00919-4","ISBN":"0123456789","abstract":"Wild bees can be essential pollinators in natural, agricultural, and urban systems, but populations of some species have declined. Efforts to assess the status of wild bees are hindered by uncertainty in common sampling methods, such as pan traps and aerial netting, which may or may not provide a valid index of abundance across species and habitats. Mark-recapture methods are a common and effective means of estimating population size, widely used in vertebrates but rarely applied to bees. Here we review existing mark-recapture studies of wild bees and present a new case study comparing mark-recapture population estimates to pan trap and net capture for four taxa in a wild bee community. Net, but not trap, capture was correlated with abundance estimates across sites and taxa. Logistical limitations ensure that mark-recapture studies will not fully replace other bee sampling methods, but they do provide a feasible way to monitor selected species and measure the performance of other sampling methods. apoidea / mark-recapture / abundance estimation / bee monitoring / pan traps","author":[{"dropping-particle":"","family":"Briggs","given":"Emma L","non-dropping-particle":"","parse-names":false,"suffix":""},{"dropping-particle":"","family":"Baranski","given":"Christopher","non-dropping-particle":"","parse-names":false,"suffix":""},{"dropping-particle":"","family":"Schaetz","given":"Olivia Münzer","non-dropping-particle":"","parse-names":false,"suffix":""},{"dropping-particle":"","family":"Garrison","given":"Gabriela","non-dropping-particle":"","parse-names":false,"suffix":""},{"dropping-particle":"","family":"Collazo","given":"Jaime A","non-dropping-particle":"","parse-names":false,"suffix":""},{"dropping-particle":"","family":"Youngsteadt","given":"Elsa","non-dropping-particle":"","parse-names":false,"suffix":""}],"container-title":"Apidologie","id":"ITEM-1","issue":"1","issued":{"date-parts":[["2022"]]},"page":"10","title":"Estimating bee abundance: can mark-recapture methods validate common sampling protocols?","type":"article-journal","volume":"53"},"uris":["http://www.mendeley.com/documents/?uuid=dc7623db-e320-3c70-896f-622c8108e5be"]}],"mendeley":{"formattedCitation":"(Briggs et al. 2022)","plainTextFormattedCitation":"(Briggs et al. 2022)"},"properties":{"noteIndex":0},"schema":"https://github.com/citation-style-language/schema/raw/master/csl-citation.json"}</w:instrText>
      </w:r>
      <w:r w:rsidR="00BE083F">
        <w:rPr>
          <w:lang w:val="en-CA"/>
        </w:rPr>
        <w:fldChar w:fldCharType="separate"/>
      </w:r>
      <w:r w:rsidR="00BE083F" w:rsidRPr="00BE083F">
        <w:rPr>
          <w:noProof/>
          <w:lang w:val="en-CA"/>
        </w:rPr>
        <w:t>(Briggs et al. 2022)</w:t>
      </w:r>
      <w:r w:rsidR="00BE083F">
        <w:rPr>
          <w:lang w:val="en-CA"/>
        </w:rPr>
        <w:fldChar w:fldCharType="end"/>
      </w:r>
      <w:r w:rsidR="00B77D8E">
        <w:rPr>
          <w:lang w:val="en-CA"/>
        </w:rPr>
        <w:t xml:space="preserve">. </w:t>
      </w:r>
      <w:r w:rsidR="00BE083F">
        <w:rPr>
          <w:lang w:val="en-CA"/>
        </w:rPr>
        <w:t xml:space="preserve">To estimate the drivers of abundance, this approach requires post-hoc </w:t>
      </w:r>
      <w:r w:rsidR="00804766">
        <w:rPr>
          <w:lang w:val="en-CA"/>
        </w:rPr>
        <w:t>r</w:t>
      </w:r>
      <w:r w:rsidR="00B77D8E">
        <w:rPr>
          <w:lang w:val="en-CA"/>
        </w:rPr>
        <w:t>egression</w:t>
      </w:r>
      <w:r w:rsidR="00804766">
        <w:rPr>
          <w:lang w:val="en-CA"/>
        </w:rPr>
        <w:t xml:space="preserve"> </w:t>
      </w:r>
      <w:r w:rsidR="00B77D8E">
        <w:rPr>
          <w:lang w:val="en-CA"/>
        </w:rPr>
        <w:t>between site-specific predictors (e.g., habitat type) and</w:t>
      </w:r>
      <w:r w:rsidR="00F75270">
        <w:rPr>
          <w:lang w:val="en-CA"/>
        </w:rPr>
        <w:t xml:space="preserve"> the independently derived abundance estimates</w:t>
      </w:r>
      <w:r w:rsidR="00BE083F">
        <w:rPr>
          <w:lang w:val="en-CA"/>
        </w:rPr>
        <w:t xml:space="preserve"> (e.g., REF)</w:t>
      </w:r>
      <w:r w:rsidR="00B77D8E">
        <w:rPr>
          <w:lang w:val="en-CA"/>
        </w:rPr>
        <w:t xml:space="preserve">. </w:t>
      </w:r>
    </w:p>
    <w:p w14:paraId="131A3D58" w14:textId="5F9F4B26" w:rsidR="00162913" w:rsidRDefault="00066428" w:rsidP="00162913">
      <w:pPr>
        <w:spacing w:line="480" w:lineRule="auto"/>
        <w:ind w:firstLine="720"/>
        <w:rPr>
          <w:lang w:val="en-CA"/>
        </w:rPr>
      </w:pPr>
      <w:r>
        <w:rPr>
          <w:highlight w:val="yellow"/>
          <w:lang w:val="en-CA"/>
        </w:rPr>
        <w:t xml:space="preserve">In contrast to classic </w:t>
      </w:r>
      <w:r w:rsidR="00804766" w:rsidRPr="003057A7">
        <w:rPr>
          <w:highlight w:val="yellow"/>
          <w:lang w:val="en-CA"/>
        </w:rPr>
        <w:t>mark-recapture</w:t>
      </w:r>
      <w:r w:rsidRPr="003057A7">
        <w:rPr>
          <w:highlight w:val="yellow"/>
          <w:lang w:val="en-CA"/>
        </w:rPr>
        <w:t>, m</w:t>
      </w:r>
      <w:r w:rsidR="00B77D8E" w:rsidRPr="003057A7">
        <w:rPr>
          <w:highlight w:val="yellow"/>
          <w:lang w:val="en-CA"/>
        </w:rPr>
        <w:t xml:space="preserve">ore </w:t>
      </w:r>
      <w:r w:rsidR="00A3622D" w:rsidRPr="00066428">
        <w:rPr>
          <w:highlight w:val="yellow"/>
          <w:lang w:val="en-CA"/>
        </w:rPr>
        <w:t>recently</w:t>
      </w:r>
      <w:r w:rsidR="00B77D8E" w:rsidRPr="00066428">
        <w:rPr>
          <w:highlight w:val="yellow"/>
          <w:lang w:val="en-CA"/>
        </w:rPr>
        <w:t xml:space="preserve"> developed </w:t>
      </w:r>
      <w:r w:rsidR="00B77D8E" w:rsidRPr="003057A7">
        <w:rPr>
          <w:highlight w:val="yellow"/>
          <w:lang w:val="en-CA"/>
        </w:rPr>
        <w:t xml:space="preserve">hierarchical </w:t>
      </w:r>
      <w:r w:rsidR="00804766" w:rsidRPr="003057A7">
        <w:rPr>
          <w:highlight w:val="yellow"/>
          <w:lang w:val="en-CA"/>
        </w:rPr>
        <w:t>mark-recapture</w:t>
      </w:r>
      <w:r w:rsidR="00804766">
        <w:rPr>
          <w:lang w:val="en-CA"/>
        </w:rPr>
        <w:t xml:space="preserve"> </w:t>
      </w:r>
      <w:r w:rsidR="00B77D8E" w:rsidRPr="00066428">
        <w:rPr>
          <w:highlight w:val="yellow"/>
          <w:lang w:val="en-CA"/>
        </w:rPr>
        <w:t>models</w:t>
      </w:r>
      <w:r w:rsidR="00163E2E" w:rsidRPr="00066428">
        <w:rPr>
          <w:highlight w:val="yellow"/>
          <w:lang w:val="en-CA"/>
        </w:rPr>
        <w:t xml:space="preserve"> </w:t>
      </w:r>
      <w:r w:rsidR="00B77D8E" w:rsidRPr="00066428">
        <w:rPr>
          <w:highlight w:val="yellow"/>
          <w:lang w:val="en-CA"/>
        </w:rPr>
        <w:t>use</w:t>
      </w:r>
      <w:r w:rsidR="00163E2E" w:rsidRPr="00066428">
        <w:rPr>
          <w:highlight w:val="yellow"/>
          <w:lang w:val="en-CA"/>
        </w:rPr>
        <w:t xml:space="preserve"> </w:t>
      </w:r>
      <w:r w:rsidR="00B77D8E" w:rsidRPr="00066428">
        <w:rPr>
          <w:highlight w:val="yellow"/>
          <w:lang w:val="en-CA"/>
        </w:rPr>
        <w:t>encounter histories</w:t>
      </w:r>
      <w:r w:rsidR="00163E2E" w:rsidRPr="00066428">
        <w:rPr>
          <w:highlight w:val="yellow"/>
          <w:lang w:val="en-CA"/>
        </w:rPr>
        <w:t xml:space="preserve"> from multiple sites</w:t>
      </w:r>
      <w:r w:rsidR="00B77D8E" w:rsidRPr="00066428">
        <w:rPr>
          <w:highlight w:val="yellow"/>
          <w:lang w:val="en-CA"/>
        </w:rPr>
        <w:t xml:space="preserve"> and/or species</w:t>
      </w:r>
      <w:r w:rsidR="00163E2E" w:rsidRPr="00066428">
        <w:rPr>
          <w:highlight w:val="yellow"/>
          <w:lang w:val="en-CA"/>
        </w:rPr>
        <w:t xml:space="preserve"> to make more precise inference about the detection rates and the number of individuals that occur at each site</w:t>
      </w:r>
      <w:r w:rsidR="00B77D8E" w:rsidRPr="00066428">
        <w:rPr>
          <w:highlight w:val="yellow"/>
          <w:lang w:val="en-CA"/>
        </w:rPr>
        <w:t xml:space="preserve"> </w:t>
      </w:r>
      <w:r w:rsidR="00B77D8E" w:rsidRPr="00066428">
        <w:rPr>
          <w:highlight w:val="yellow"/>
          <w:lang w:val="en-CA"/>
        </w:rPr>
        <w:fldChar w:fldCharType="begin" w:fldLock="1"/>
      </w:r>
      <w:r w:rsidR="00B77D8E" w:rsidRPr="00066428">
        <w:rPr>
          <w:highlight w:val="yellow"/>
          <w:lang w:val="en-CA"/>
        </w:rPr>
        <w:instrText>ADDIN CSL_CITATION {"citationItems":[{"id":"ITEM-1","itemData":{"DOI":"10.1890/10-1440.1","ISSN":"00129658","PMID":"21618931","abstract":"Estimating density is a fundamental objective of many animal population studies. Application of methods for estimating population size from ostensibly closed populations is widespread, but ineffective for estimating absolute density because most populations are subject to short-term movements or so-called temporary emigration. This phenomenon invalidates the resulting estimates because the effective sample area is unknown. A number of methods involving the adjustment of estimates based on heuristic considerations are in widespread use. In this paper, a hierarchical model of spatially indexed capture-recapture data is proposed for sampling based on area searches of spatial sample units subject to uniform sampling intensity. The hierarchical model contains explicit models for the distribution of individuals and their movements, in addition to an observation model that is conditional on the location of individuals during sampling. Bayesian analysis of the hierarchical model is achieved by the use of data augmentation, which allows for a straightforward implementation in the freely available software WinBUGS. We present results of a simulation study that was carried out to evaluate the operating characteristics of the Bayesian estimator under variable densities and movement patterns of individuals. An application of the model is presented for survey data on the flat-tailed horned lizard (Phrynosoma mcallii) in Arizona, USA.","author":[{"dropping-particle":"","family":"Royle","given":"J. Andrew","non-dropping-particle":"","parse-names":false,"suffix":""},{"dropping-particle":"","family":"Young","given":"K.","non-dropping-particle":"","parse-names":false,"suffix":""}],"container-title":"Ecology","id":"ITEM-1","issue":"8","issued":{"date-parts":[["2008"]]},"page":"2281-2289","title":"A hierarchical model for spatial capture-recapture data","type":"article-journal","volume":"89"},"uris":["http://www.mendeley.com/documents/?uuid=4ea0aea9-9372-4e22-9f8c-a13656b13a7e"]}],"mendeley":{"formattedCitation":"(Royle and Young 2008)","plainTextFormattedCitation":"(Royle and Young 2008)","previouslyFormattedCitation":"(Royle and Young 2008)"},"properties":{"noteIndex":0},"schema":"https://github.com/citation-style-language/schema/raw/master/csl-citation.json"}</w:instrText>
      </w:r>
      <w:r w:rsidR="00B77D8E" w:rsidRPr="00066428">
        <w:rPr>
          <w:highlight w:val="yellow"/>
          <w:lang w:val="en-CA"/>
        </w:rPr>
        <w:fldChar w:fldCharType="separate"/>
      </w:r>
      <w:r w:rsidR="00B77D8E" w:rsidRPr="00066428">
        <w:rPr>
          <w:noProof/>
          <w:highlight w:val="yellow"/>
          <w:lang w:val="en-CA"/>
        </w:rPr>
        <w:t>(Royle and Young 2008)</w:t>
      </w:r>
      <w:r w:rsidR="00B77D8E" w:rsidRPr="00066428">
        <w:rPr>
          <w:highlight w:val="yellow"/>
          <w:lang w:val="en-CA"/>
        </w:rPr>
        <w:fldChar w:fldCharType="end"/>
      </w:r>
      <w:r w:rsidR="00163E2E" w:rsidRPr="00066428">
        <w:rPr>
          <w:highlight w:val="yellow"/>
          <w:lang w:val="en-CA"/>
        </w:rPr>
        <w:t>.</w:t>
      </w:r>
      <w:r w:rsidR="00163E2E">
        <w:rPr>
          <w:lang w:val="en-CA"/>
        </w:rPr>
        <w:t xml:space="preserve"> </w:t>
      </w:r>
      <w:r w:rsidR="00B77D8E">
        <w:rPr>
          <w:lang w:val="en-CA"/>
        </w:rPr>
        <w:t xml:space="preserve">Hierarchical </w:t>
      </w:r>
      <w:r w:rsidR="00804766">
        <w:rPr>
          <w:lang w:val="en-CA"/>
        </w:rPr>
        <w:t xml:space="preserve">mark-recapture </w:t>
      </w:r>
      <w:r w:rsidR="00B77D8E">
        <w:rPr>
          <w:lang w:val="en-CA"/>
        </w:rPr>
        <w:t>models allow detection rates and abundance to be specified as outcomes of site or species predictors (e.g., habitat type), enabling direct rather than post-hoc estimation of</w:t>
      </w:r>
      <w:r w:rsidR="00F75270">
        <w:rPr>
          <w:lang w:val="en-CA"/>
        </w:rPr>
        <w:t xml:space="preserve"> the</w:t>
      </w:r>
      <w:r w:rsidR="00B77D8E">
        <w:rPr>
          <w:lang w:val="en-CA"/>
        </w:rPr>
        <w:t xml:space="preserve"> drivers of </w:t>
      </w:r>
      <w:r w:rsidR="00F75270">
        <w:rPr>
          <w:lang w:val="en-CA"/>
        </w:rPr>
        <w:t>abundance</w:t>
      </w:r>
      <w:r w:rsidR="00B77D8E">
        <w:rPr>
          <w:lang w:val="en-CA"/>
        </w:rPr>
        <w:t xml:space="preserve"> </w:t>
      </w:r>
      <w:r w:rsidR="00B77D8E">
        <w:rPr>
          <w:lang w:val="en-CA"/>
        </w:rPr>
        <w:fldChar w:fldCharType="begin" w:fldLock="1"/>
      </w:r>
      <w:r w:rsidR="00B77D8E">
        <w:rPr>
          <w:lang w:val="en-CA"/>
        </w:rPr>
        <w:instrText>ADDIN CSL_CITATION {"citationItems":[{"id":"ITEM-1","itemData":{"DOI":"10.1890/10-1440.1","ISSN":"00129658","PMID":"21618931","abstract":"Estimating density is a fundamental objective of many animal population studies. Application of methods for estimating population size from ostensibly closed populations is widespread, but ineffective for estimating absolute density because most populations are subject to short-term movements or so-called temporary emigration. This phenomenon invalidates the resulting estimates because the effective sample area is unknown. A number of methods involving the adjustment of estimates based on heuristic considerations are in widespread use. In this paper, a hierarchical model of spatially indexed capture-recapture data is proposed for sampling based on area searches of spatial sample units subject to uniform sampling intensity. The hierarchical model contains explicit models for the distribution of individuals and their movements, in addition to an observation model that is conditional on the location of individuals during sampling. Bayesian analysis of the hierarchical model is achieved by the use of data augmentation, which allows for a straightforward implementation in the freely available software WinBUGS. We present results of a simulation study that was carried out to evaluate the operating characteristics of the Bayesian estimator under variable densities and movement patterns of individuals. An application of the model is presented for survey data on the flat-tailed horned lizard (Phrynosoma mcallii) in Arizona, USA.","author":[{"dropping-particle":"","family":"Royle","given":"J. Andrew","non-dropping-particle":"","parse-names":false,"suffix":""},{"dropping-particle":"","family":"Young","given":"K.","non-dropping-particle":"","parse-names":false,"suffix":""}],"container-title":"Ecology","id":"ITEM-1","issue":"8","issued":{"date-parts":[["2008"]]},"page":"2281-2289","title":"A hierarchical model for spatial capture-recapture data","type":"article-journal","volume":"89"},"uris":["http://www.mendeley.com/documents/?uuid=4ea0aea9-9372-4e22-9f8c-a13656b13a7e"]}],"mendeley":{"formattedCitation":"(Royle and Young 2008)","plainTextFormattedCitation":"(Royle and Young 2008)","previouslyFormattedCitation":"(Royle and Young 2008)"},"properties":{"noteIndex":0},"schema":"https://github.com/citation-style-language/schema/raw/master/csl-citation.json"}</w:instrText>
      </w:r>
      <w:r w:rsidR="00B77D8E">
        <w:rPr>
          <w:lang w:val="en-CA"/>
        </w:rPr>
        <w:fldChar w:fldCharType="separate"/>
      </w:r>
      <w:r w:rsidR="00B77D8E" w:rsidRPr="00163E2E">
        <w:rPr>
          <w:noProof/>
          <w:lang w:val="en-CA"/>
        </w:rPr>
        <w:t>(Royle and Young 2008)</w:t>
      </w:r>
      <w:r w:rsidR="00B77D8E">
        <w:rPr>
          <w:lang w:val="en-CA"/>
        </w:rPr>
        <w:fldChar w:fldCharType="end"/>
      </w:r>
      <w:r w:rsidR="00B77D8E">
        <w:rPr>
          <w:lang w:val="en-CA"/>
        </w:rPr>
        <w:t xml:space="preserve">. A </w:t>
      </w:r>
      <w:r w:rsidR="00A3622D">
        <w:rPr>
          <w:lang w:val="en-CA"/>
        </w:rPr>
        <w:t>prevalent</w:t>
      </w:r>
      <w:r w:rsidR="00B77D8E">
        <w:rPr>
          <w:lang w:val="en-CA"/>
        </w:rPr>
        <w:t xml:space="preserve"> specification of </w:t>
      </w:r>
      <w:r w:rsidR="00A3622D">
        <w:rPr>
          <w:lang w:val="en-CA"/>
        </w:rPr>
        <w:t xml:space="preserve">the </w:t>
      </w:r>
      <w:r w:rsidR="00B77D8E">
        <w:rPr>
          <w:lang w:val="en-CA"/>
        </w:rPr>
        <w:t xml:space="preserve">hierarchical </w:t>
      </w:r>
      <w:r w:rsidR="00804766">
        <w:rPr>
          <w:lang w:val="en-CA"/>
        </w:rPr>
        <w:t xml:space="preserve">mark-recapture </w:t>
      </w:r>
      <w:r w:rsidR="00B77D8E">
        <w:rPr>
          <w:lang w:val="en-CA"/>
        </w:rPr>
        <w:t xml:space="preserve">is </w:t>
      </w:r>
      <w:r w:rsidR="00A3622D">
        <w:rPr>
          <w:lang w:val="en-CA"/>
        </w:rPr>
        <w:t>the</w:t>
      </w:r>
      <w:r w:rsidR="00B77D8E">
        <w:rPr>
          <w:lang w:val="en-CA"/>
        </w:rPr>
        <w:t xml:space="preserve"> </w:t>
      </w:r>
      <w:r w:rsidR="00A3622D">
        <w:rPr>
          <w:lang w:val="en-CA"/>
        </w:rPr>
        <w:t>m</w:t>
      </w:r>
      <w:r w:rsidR="00B77D8E">
        <w:rPr>
          <w:lang w:val="en-CA"/>
        </w:rPr>
        <w:t>ultinomial-mixture model</w:t>
      </w:r>
      <w:r w:rsidR="00A3622D">
        <w:rPr>
          <w:lang w:val="en-CA"/>
        </w:rPr>
        <w:t xml:space="preserve"> (hereafter, “multimix”) </w:t>
      </w:r>
      <w:r w:rsidR="00A3622D">
        <w:rPr>
          <w:lang w:val="en-CA"/>
        </w:rPr>
        <w:fldChar w:fldCharType="begin" w:fldLock="1"/>
      </w:r>
      <w:r w:rsidR="00BE083F">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and Royle 2020)","plainTextFormattedCitation":"(Kery and Royle 2020)","previouslyFormattedCitation":"(Kery and Royle 2020)"},"properties":{"noteIndex":0},"schema":"https://github.com/citation-style-language/schema/raw/master/csl-citation.json"}</w:instrText>
      </w:r>
      <w:r w:rsidR="00A3622D">
        <w:rPr>
          <w:lang w:val="en-CA"/>
        </w:rPr>
        <w:fldChar w:fldCharType="separate"/>
      </w:r>
      <w:r w:rsidR="00A3622D" w:rsidRPr="00A3622D">
        <w:rPr>
          <w:noProof/>
          <w:lang w:val="en-CA"/>
        </w:rPr>
        <w:t>(Kery and Royle 2020)</w:t>
      </w:r>
      <w:r w:rsidR="00A3622D">
        <w:rPr>
          <w:lang w:val="en-CA"/>
        </w:rPr>
        <w:fldChar w:fldCharType="end"/>
      </w:r>
      <w:r w:rsidR="00A3622D">
        <w:rPr>
          <w:lang w:val="en-CA"/>
        </w:rPr>
        <w:t xml:space="preserve">, which treats encounter histories of marked individuals as the outcome of a multinomial distribution. Information about the frequency of individuals occurring in each observable encounter history category </w:t>
      </w:r>
      <w:r w:rsidR="002B1345">
        <w:rPr>
          <w:lang w:val="en-CA"/>
        </w:rPr>
        <w:t>informs estimation of</w:t>
      </w:r>
      <w:r w:rsidR="00A3622D">
        <w:rPr>
          <w:lang w:val="en-CA"/>
        </w:rPr>
        <w:t xml:space="preserve"> the number of individuals that were never detected (</w:t>
      </w:r>
      <w:r w:rsidR="00FE48DF">
        <w:rPr>
          <w:lang w:val="en-CA"/>
        </w:rPr>
        <w:t>Box</w:t>
      </w:r>
      <w:r w:rsidR="00A3622D">
        <w:rPr>
          <w:lang w:val="en-CA"/>
        </w:rPr>
        <w:t xml:space="preserve"> 1). For example, </w:t>
      </w:r>
      <w:r w:rsidR="00691AED">
        <w:rPr>
          <w:lang w:val="en-CA"/>
        </w:rPr>
        <w:t xml:space="preserve">a majority of individuals </w:t>
      </w:r>
      <w:r w:rsidR="002B1345">
        <w:rPr>
          <w:lang w:val="en-CA"/>
        </w:rPr>
        <w:t>being</w:t>
      </w:r>
      <w:r w:rsidR="00691AED">
        <w:rPr>
          <w:lang w:val="en-CA"/>
        </w:rPr>
        <w:t xml:space="preserve"> detected on most or all </w:t>
      </w:r>
      <w:r w:rsidR="00F75270">
        <w:rPr>
          <w:lang w:val="en-CA"/>
        </w:rPr>
        <w:t xml:space="preserve">repeat </w:t>
      </w:r>
      <w:r w:rsidR="00691AED">
        <w:rPr>
          <w:lang w:val="en-CA"/>
        </w:rPr>
        <w:t xml:space="preserve">visits </w:t>
      </w:r>
      <w:r w:rsidR="002B1345">
        <w:rPr>
          <w:lang w:val="en-CA"/>
        </w:rPr>
        <w:t>suggest</w:t>
      </w:r>
      <w:r w:rsidR="00F75270">
        <w:rPr>
          <w:lang w:val="en-CA"/>
        </w:rPr>
        <w:t>s</w:t>
      </w:r>
      <w:r w:rsidR="00691AED">
        <w:rPr>
          <w:lang w:val="en-CA"/>
        </w:rPr>
        <w:t xml:space="preserve"> a low</w:t>
      </w:r>
      <w:r w:rsidR="002B1345">
        <w:rPr>
          <w:lang w:val="en-CA"/>
        </w:rPr>
        <w:t>er</w:t>
      </w:r>
      <w:r w:rsidR="00691AED">
        <w:rPr>
          <w:lang w:val="en-CA"/>
        </w:rPr>
        <w:t xml:space="preserve"> probability of a large number of undetected individuals</w:t>
      </w:r>
      <w:r w:rsidR="00F75270">
        <w:rPr>
          <w:lang w:val="en-CA"/>
        </w:rPr>
        <w:t xml:space="preserve"> relative to </w:t>
      </w:r>
      <w:r w:rsidR="00691AED">
        <w:rPr>
          <w:lang w:val="en-CA"/>
        </w:rPr>
        <w:t>a</w:t>
      </w:r>
      <w:r w:rsidR="00F75270">
        <w:rPr>
          <w:lang w:val="en-CA"/>
        </w:rPr>
        <w:t xml:space="preserve"> scenario with</w:t>
      </w:r>
      <w:r w:rsidR="00691AED">
        <w:rPr>
          <w:lang w:val="en-CA"/>
        </w:rPr>
        <w:t xml:space="preserve"> </w:t>
      </w:r>
      <w:r w:rsidR="00F75270">
        <w:rPr>
          <w:lang w:val="en-CA"/>
        </w:rPr>
        <w:t>a majority of</w:t>
      </w:r>
      <w:r w:rsidR="00691AED">
        <w:rPr>
          <w:lang w:val="en-CA"/>
        </w:rPr>
        <w:t xml:space="preserve"> individuals that were detected on </w:t>
      </w:r>
      <w:r w:rsidR="002B1345">
        <w:rPr>
          <w:lang w:val="en-CA"/>
        </w:rPr>
        <w:t xml:space="preserve">very </w:t>
      </w:r>
      <w:r w:rsidR="00691AED">
        <w:rPr>
          <w:lang w:val="en-CA"/>
        </w:rPr>
        <w:t xml:space="preserve">few </w:t>
      </w:r>
      <w:r w:rsidR="00F75270">
        <w:rPr>
          <w:lang w:val="en-CA"/>
        </w:rPr>
        <w:t>repeat</w:t>
      </w:r>
      <w:r w:rsidR="00691AED">
        <w:rPr>
          <w:lang w:val="en-CA"/>
        </w:rPr>
        <w:t xml:space="preserve"> visits. </w:t>
      </w:r>
      <w:r w:rsidR="001D0191">
        <w:rPr>
          <w:lang w:val="en-CA"/>
        </w:rPr>
        <w:t xml:space="preserve">Hierarchical </w:t>
      </w:r>
      <w:proofErr w:type="spellStart"/>
      <w:r w:rsidR="001D0191">
        <w:rPr>
          <w:lang w:val="en-CA"/>
        </w:rPr>
        <w:t>multimix</w:t>
      </w:r>
      <w:proofErr w:type="spellEnd"/>
      <w:r w:rsidR="001D0191">
        <w:rPr>
          <w:lang w:val="en-CA"/>
        </w:rPr>
        <w:t xml:space="preserve"> models are increasingly popular for population studies of birds, mammals and reptiles and amphibians.</w:t>
      </w:r>
      <w:r w:rsidR="001D0191">
        <w:rPr>
          <w:lang w:val="en-CA"/>
        </w:rPr>
        <w:t xml:space="preserve"> </w:t>
      </w:r>
      <w:r w:rsidR="000E123C">
        <w:rPr>
          <w:lang w:val="en-CA"/>
        </w:rPr>
        <w:t xml:space="preserve">While </w:t>
      </w:r>
      <w:r w:rsidR="001D0191">
        <w:rPr>
          <w:lang w:val="en-CA"/>
        </w:rPr>
        <w:t xml:space="preserve">classic mark-recapture models are a standard of butterfly population monitoring (), hierarchical </w:t>
      </w:r>
      <w:proofErr w:type="spellStart"/>
      <w:r w:rsidR="001D0191">
        <w:rPr>
          <w:lang w:val="en-CA"/>
        </w:rPr>
        <w:t>multimix</w:t>
      </w:r>
      <w:proofErr w:type="spellEnd"/>
      <w:r w:rsidR="001D0191">
        <w:rPr>
          <w:lang w:val="en-CA"/>
        </w:rPr>
        <w:t xml:space="preserve"> models have only rarely been applied to insects. </w:t>
      </w:r>
    </w:p>
    <w:p w14:paraId="2AE5EBC1" w14:textId="78C33427" w:rsidR="00B77D8E" w:rsidRDefault="00691AED" w:rsidP="00B77D8E">
      <w:pPr>
        <w:spacing w:line="480" w:lineRule="auto"/>
        <w:ind w:firstLine="720"/>
        <w:rPr>
          <w:lang w:val="en-CA"/>
        </w:rPr>
      </w:pPr>
      <w:r w:rsidRPr="00162913">
        <w:rPr>
          <w:highlight w:val="yellow"/>
          <w:lang w:val="en-CA"/>
        </w:rPr>
        <w:t xml:space="preserve">While multimix models offer </w:t>
      </w:r>
      <w:r w:rsidR="00066428" w:rsidRPr="00162913">
        <w:rPr>
          <w:highlight w:val="yellow"/>
          <w:lang w:val="en-CA"/>
        </w:rPr>
        <w:t xml:space="preserve">a solution for estimating the drivers of insect abundance when detection is less than perfect, these models also </w:t>
      </w:r>
      <w:r w:rsidR="00162913">
        <w:rPr>
          <w:highlight w:val="yellow"/>
          <w:lang w:val="en-CA"/>
        </w:rPr>
        <w:t>have</w:t>
      </w:r>
      <w:r w:rsidR="00066428" w:rsidRPr="00162913">
        <w:rPr>
          <w:highlight w:val="yellow"/>
          <w:lang w:val="en-CA"/>
        </w:rPr>
        <w:t xml:space="preserve"> drawbacks.</w:t>
      </w:r>
      <w:r w:rsidR="00066428">
        <w:rPr>
          <w:lang w:val="en-CA"/>
        </w:rPr>
        <w:t xml:space="preserve"> In particular, </w:t>
      </w:r>
      <w:r w:rsidR="00F75270">
        <w:rPr>
          <w:lang w:val="en-CA"/>
        </w:rPr>
        <w:t>mark-recapture</w:t>
      </w:r>
      <w:r w:rsidR="00066428">
        <w:rPr>
          <w:lang w:val="en-CA"/>
        </w:rPr>
        <w:t xml:space="preserve"> data can be </w:t>
      </w:r>
      <w:r w:rsidR="00F75270">
        <w:rPr>
          <w:lang w:val="en-CA"/>
        </w:rPr>
        <w:t>difficult</w:t>
      </w:r>
      <w:r w:rsidR="00066428">
        <w:rPr>
          <w:lang w:val="en-CA"/>
        </w:rPr>
        <w:t xml:space="preserve"> and time consuming to collect</w:t>
      </w:r>
      <w:r w:rsidR="00F75270">
        <w:rPr>
          <w:lang w:val="en-CA"/>
        </w:rPr>
        <w:t>, imposing financial costs</w:t>
      </w:r>
      <w:r w:rsidR="00066428">
        <w:rPr>
          <w:lang w:val="en-CA"/>
        </w:rPr>
        <w:t xml:space="preserve"> (). Additionally,</w:t>
      </w:r>
      <w:r w:rsidR="00F75270">
        <w:rPr>
          <w:lang w:val="en-CA"/>
        </w:rPr>
        <w:t xml:space="preserve"> </w:t>
      </w:r>
      <w:r w:rsidR="00F75270">
        <w:rPr>
          <w:lang w:val="en-CA"/>
        </w:rPr>
        <w:lastRenderedPageBreak/>
        <w:t>placing marks could</w:t>
      </w:r>
      <w:r w:rsidR="00066428">
        <w:rPr>
          <w:lang w:val="en-CA"/>
        </w:rPr>
        <w:t xml:space="preserve"> damage or harm insects, an important consideration for rare or sensitive species (). </w:t>
      </w:r>
      <w:r w:rsidR="00162913">
        <w:rPr>
          <w:lang w:val="en-CA"/>
        </w:rPr>
        <w:t xml:space="preserve">Because they do not require information about individual identity, but rather the number of individuals with some unique encounter history, multimix modelling approaches can also be applied to data collected without non-marking sampling schemes, for example, </w:t>
      </w:r>
      <w:r w:rsidR="000E123C">
        <w:rPr>
          <w:lang w:val="en-CA"/>
        </w:rPr>
        <w:t>removal sampling (), multiple observer recording schemes (), or territory tracking (). However, these other data collection schemes also come with logistical drawbacks especially for insect monitoring. For example, multiple observer recording is not possible if “detection” requires trap capture and identification (which is generally the case for small and difficult to identify insects). Territory tracking may not be applicable to most insects which unlike birds or large mammals, do not tend to occupy and defend unique positions in the landscape</w:t>
      </w:r>
      <w:r w:rsidR="00162913">
        <w:rPr>
          <w:lang w:val="en-CA"/>
        </w:rPr>
        <w:t xml:space="preserve">. </w:t>
      </w:r>
      <w:r w:rsidR="00066428">
        <w:rPr>
          <w:lang w:val="en-CA"/>
        </w:rPr>
        <w:t>Further, hierarchical multimix model</w:t>
      </w:r>
      <w:r w:rsidR="002B1345">
        <w:rPr>
          <w:lang w:val="en-CA"/>
        </w:rPr>
        <w:t xml:space="preserve"> </w:t>
      </w:r>
      <w:r w:rsidR="00625570">
        <w:rPr>
          <w:lang w:val="en-CA"/>
        </w:rPr>
        <w:t xml:space="preserve">implementation </w:t>
      </w:r>
      <w:r w:rsidR="00F75270">
        <w:rPr>
          <w:lang w:val="en-CA"/>
        </w:rPr>
        <w:t xml:space="preserve">for mark-recapture data </w:t>
      </w:r>
      <w:r w:rsidR="00625570">
        <w:rPr>
          <w:lang w:val="en-CA"/>
        </w:rPr>
        <w:t>can be</w:t>
      </w:r>
      <w:r w:rsidR="00066428">
        <w:rPr>
          <w:lang w:val="en-CA"/>
        </w:rPr>
        <w:t xml:space="preserve"> </w:t>
      </w:r>
      <w:r w:rsidR="00625570">
        <w:rPr>
          <w:lang w:val="en-CA"/>
        </w:rPr>
        <w:t>in</w:t>
      </w:r>
      <w:r w:rsidR="00066428">
        <w:rPr>
          <w:lang w:val="en-CA"/>
        </w:rPr>
        <w:t xml:space="preserve">accessible, typically requiring custom tailored code and large </w:t>
      </w:r>
      <w:r w:rsidR="00625570">
        <w:rPr>
          <w:lang w:val="en-CA"/>
        </w:rPr>
        <w:t>computational</w:t>
      </w:r>
      <w:r w:rsidR="00066428">
        <w:rPr>
          <w:lang w:val="en-CA"/>
        </w:rPr>
        <w:t xml:space="preserve"> resources.</w:t>
      </w:r>
    </w:p>
    <w:p w14:paraId="0DA8BD45" w14:textId="7E759AC4" w:rsidR="00162913" w:rsidRDefault="00066428" w:rsidP="008A4AE3">
      <w:pPr>
        <w:spacing w:line="480" w:lineRule="auto"/>
        <w:ind w:firstLine="720"/>
        <w:rPr>
          <w:lang w:val="en-CA"/>
        </w:rPr>
      </w:pPr>
      <w:r w:rsidRPr="003459A4">
        <w:rPr>
          <w:highlight w:val="yellow"/>
          <w:lang w:val="en-CA"/>
        </w:rPr>
        <w:t>Binomial N-mixture models (hereafter, “binmix”</w:t>
      </w:r>
      <w:r w:rsidR="000F4CA3" w:rsidRPr="003459A4">
        <w:rPr>
          <w:highlight w:val="yellow"/>
          <w:lang w:val="en-CA"/>
        </w:rPr>
        <w:t xml:space="preserve"> models</w:t>
      </w:r>
      <w:r w:rsidRPr="003459A4">
        <w:rPr>
          <w:highlight w:val="yellow"/>
          <w:lang w:val="en-CA"/>
        </w:rPr>
        <w:t>)</w:t>
      </w:r>
      <w:r w:rsidR="00685B0A">
        <w:rPr>
          <w:highlight w:val="yellow"/>
          <w:lang w:val="en-CA"/>
        </w:rPr>
        <w:t xml:space="preserve"> are </w:t>
      </w:r>
      <w:r w:rsidR="000F4CA3" w:rsidRPr="003459A4">
        <w:rPr>
          <w:highlight w:val="yellow"/>
          <w:lang w:val="en-CA"/>
        </w:rPr>
        <w:t xml:space="preserve">another class of </w:t>
      </w:r>
      <w:r w:rsidR="00685B0A">
        <w:rPr>
          <w:highlight w:val="yellow"/>
          <w:lang w:val="en-CA"/>
        </w:rPr>
        <w:t xml:space="preserve">models that can account for imperfect </w:t>
      </w:r>
      <w:r w:rsidR="000F4CA3" w:rsidRPr="003459A4">
        <w:rPr>
          <w:highlight w:val="yellow"/>
          <w:lang w:val="en-CA"/>
        </w:rPr>
        <w:t>detection</w:t>
      </w:r>
      <w:r w:rsidR="00685B0A">
        <w:rPr>
          <w:highlight w:val="yellow"/>
          <w:lang w:val="en-CA"/>
        </w:rPr>
        <w:t xml:space="preserve"> that may also have the potential to circumvent </w:t>
      </w:r>
      <w:r w:rsidRPr="003459A4">
        <w:rPr>
          <w:highlight w:val="yellow"/>
          <w:lang w:val="en-CA"/>
        </w:rPr>
        <w:t>some of the</w:t>
      </w:r>
      <w:r w:rsidR="000F4CA3" w:rsidRPr="003459A4">
        <w:rPr>
          <w:highlight w:val="yellow"/>
          <w:lang w:val="en-CA"/>
        </w:rPr>
        <w:t xml:space="preserve"> </w:t>
      </w:r>
      <w:r w:rsidR="00F75270">
        <w:rPr>
          <w:highlight w:val="yellow"/>
          <w:lang w:val="en-CA"/>
        </w:rPr>
        <w:t>cost issues</w:t>
      </w:r>
      <w:r w:rsidR="000F4CA3" w:rsidRPr="003459A4">
        <w:rPr>
          <w:highlight w:val="yellow"/>
          <w:lang w:val="en-CA"/>
        </w:rPr>
        <w:t xml:space="preserve"> associated with multimix protocols.</w:t>
      </w:r>
      <w:r w:rsidR="000F4CA3">
        <w:rPr>
          <w:lang w:val="en-CA"/>
        </w:rPr>
        <w:t xml:space="preserve"> In particular, binmix models</w:t>
      </w:r>
      <w:r>
        <w:rPr>
          <w:lang w:val="en-CA"/>
        </w:rPr>
        <w:t xml:space="preserve"> </w:t>
      </w:r>
      <w:r w:rsidR="000F4CA3">
        <w:rPr>
          <w:lang w:val="en-CA"/>
        </w:rPr>
        <w:t>do not require the</w:t>
      </w:r>
      <w:r>
        <w:rPr>
          <w:lang w:val="en-CA"/>
        </w:rPr>
        <w:t xml:space="preserve"> expens</w:t>
      </w:r>
      <w:r w:rsidR="000F4CA3">
        <w:rPr>
          <w:lang w:val="en-CA"/>
        </w:rPr>
        <w:t>ive</w:t>
      </w:r>
      <w:r>
        <w:rPr>
          <w:lang w:val="en-CA"/>
        </w:rPr>
        <w:t xml:space="preserve"> mark data</w:t>
      </w:r>
      <w:r w:rsidR="000F4CA3">
        <w:rPr>
          <w:lang w:val="en-CA"/>
        </w:rPr>
        <w:t xml:space="preserve"> required for multimix models</w:t>
      </w:r>
      <w:r>
        <w:rPr>
          <w:lang w:val="en-CA"/>
        </w:rPr>
        <w:t>.</w:t>
      </w:r>
      <w:r w:rsidR="000F4CA3">
        <w:rPr>
          <w:lang w:val="en-CA"/>
        </w:rPr>
        <w:t xml:space="preserve"> Instead,</w:t>
      </w:r>
      <w:r w:rsidR="002B1345">
        <w:rPr>
          <w:lang w:val="en-CA"/>
        </w:rPr>
        <w:t xml:space="preserve"> </w:t>
      </w:r>
      <w:r w:rsidR="000F4CA3">
        <w:rPr>
          <w:lang w:val="en-CA"/>
        </w:rPr>
        <w:t>b</w:t>
      </w:r>
      <w:r w:rsidR="002B1345">
        <w:rPr>
          <w:lang w:val="en-CA"/>
        </w:rPr>
        <w:t>inmix models leverage the distribution of the number of individuals that are detected across repeat surveys to approximate true abundance</w:t>
      </w:r>
      <w:r w:rsidR="00FE48DF">
        <w:rPr>
          <w:lang w:val="en-CA"/>
        </w:rPr>
        <w:t xml:space="preserve"> (Box 1)</w:t>
      </w:r>
      <w:r w:rsidR="002B1345">
        <w:rPr>
          <w:lang w:val="en-CA"/>
        </w:rPr>
        <w:t xml:space="preserve">. For example, at one end of the spectrum, </w:t>
      </w:r>
      <w:r w:rsidR="00685B0A">
        <w:rPr>
          <w:lang w:val="en-CA"/>
        </w:rPr>
        <w:t xml:space="preserve">a </w:t>
      </w:r>
      <w:r w:rsidR="002B1345">
        <w:rPr>
          <w:lang w:val="en-CA"/>
        </w:rPr>
        <w:t xml:space="preserve">tight left-tailed </w:t>
      </w:r>
      <w:r w:rsidR="00685B0A">
        <w:rPr>
          <w:lang w:val="en-CA"/>
        </w:rPr>
        <w:t>distribution of repeat counts</w:t>
      </w:r>
      <w:r w:rsidR="002B1345">
        <w:rPr>
          <w:lang w:val="en-CA"/>
        </w:rPr>
        <w:t xml:space="preserve"> suggest a high probability that the true abundance is not much higher than the maximum observed count. </w:t>
      </w:r>
      <w:r w:rsidR="00FE48DF">
        <w:rPr>
          <w:lang w:val="en-CA"/>
        </w:rPr>
        <w:t>Conversely</w:t>
      </w:r>
      <w:r w:rsidR="002B1345">
        <w:rPr>
          <w:lang w:val="en-CA"/>
        </w:rPr>
        <w:t>, tightly distributed right-tailed counts suggest a high probability that only a fraction of the true abundance is ever observed. In the middle of these scenarios, a widely</w:t>
      </w:r>
      <w:r w:rsidR="00FE48DF">
        <w:rPr>
          <w:lang w:val="en-CA"/>
        </w:rPr>
        <w:t xml:space="preserve"> </w:t>
      </w:r>
      <w:r w:rsidR="002B1345">
        <w:rPr>
          <w:lang w:val="en-CA"/>
        </w:rPr>
        <w:t>spread symmetrical distribution of counts suggests that individuals ha</w:t>
      </w:r>
      <w:r w:rsidR="000F4CA3">
        <w:rPr>
          <w:lang w:val="en-CA"/>
        </w:rPr>
        <w:t>ve</w:t>
      </w:r>
      <w:r w:rsidR="002B1345">
        <w:rPr>
          <w:lang w:val="en-CA"/>
        </w:rPr>
        <w:t xml:space="preserve"> an approximately </w:t>
      </w:r>
      <w:r w:rsidR="000F4CA3">
        <w:rPr>
          <w:lang w:val="en-CA"/>
        </w:rPr>
        <w:t xml:space="preserve">50/50 </w:t>
      </w:r>
      <w:r w:rsidR="002B1345">
        <w:rPr>
          <w:lang w:val="en-CA"/>
        </w:rPr>
        <w:t>equal odds of being detect</w:t>
      </w:r>
      <w:r w:rsidR="000F4CA3">
        <w:rPr>
          <w:lang w:val="en-CA"/>
        </w:rPr>
        <w:t>ed on each survey</w:t>
      </w:r>
      <w:r w:rsidR="002B1345">
        <w:rPr>
          <w:lang w:val="en-CA"/>
        </w:rPr>
        <w:t xml:space="preserve">.  Binmix models </w:t>
      </w:r>
      <w:r w:rsidR="000F4CA3">
        <w:rPr>
          <w:lang w:val="en-CA"/>
        </w:rPr>
        <w:t>are also</w:t>
      </w:r>
      <w:r w:rsidR="002B1345">
        <w:rPr>
          <w:lang w:val="en-CA"/>
        </w:rPr>
        <w:t xml:space="preserve"> fit in hierarchical form</w:t>
      </w:r>
      <w:r w:rsidR="000F4CA3">
        <w:rPr>
          <w:lang w:val="en-CA"/>
        </w:rPr>
        <w:t xml:space="preserve">s that </w:t>
      </w:r>
      <w:r w:rsidR="00162913">
        <w:rPr>
          <w:lang w:val="en-CA"/>
        </w:rPr>
        <w:t>allow for</w:t>
      </w:r>
      <w:r w:rsidR="000F4CA3">
        <w:rPr>
          <w:lang w:val="en-CA"/>
        </w:rPr>
        <w:t xml:space="preserve"> direct assessment of the effects of spatiotemporal or species covariates on abundance</w:t>
      </w:r>
      <w:r w:rsidR="00162913">
        <w:rPr>
          <w:lang w:val="en-CA"/>
        </w:rPr>
        <w:t xml:space="preserve">, </w:t>
      </w:r>
      <w:r w:rsidR="00162913">
        <w:rPr>
          <w:lang w:val="en-CA"/>
        </w:rPr>
        <w:lastRenderedPageBreak/>
        <w:t>while simultaneously accounting for detection biases</w:t>
      </w:r>
      <w:r w:rsidR="000F4CA3">
        <w:rPr>
          <w:lang w:val="en-CA"/>
        </w:rPr>
        <w:t xml:space="preserve">. </w:t>
      </w:r>
      <w:r w:rsidR="00927703">
        <w:rPr>
          <w:lang w:val="en-CA"/>
        </w:rPr>
        <w:t xml:space="preserve">Binmix models have been used, for example, to estimate the effects of urban land use type on mosquito abundance (Manica et al., 2019), the impact of competitors and flower resource density on wild bee abundance (McCune et al., 2020), or </w:t>
      </w:r>
      <w:r w:rsidR="00495E45">
        <w:rPr>
          <w:lang w:val="en-CA"/>
        </w:rPr>
        <w:t>land cover type and seasonality on Arctic fritillary abundance (Riva et al., 2020).</w:t>
      </w:r>
    </w:p>
    <w:p w14:paraId="6C780440" w14:textId="7550123B" w:rsidR="008A4AE3" w:rsidRDefault="00162913" w:rsidP="008A4AE3">
      <w:pPr>
        <w:spacing w:line="480" w:lineRule="auto"/>
        <w:ind w:firstLine="720"/>
        <w:rPr>
          <w:lang w:val="en-CA"/>
        </w:rPr>
      </w:pPr>
      <w:r>
        <w:rPr>
          <w:lang w:val="en-CA"/>
        </w:rPr>
        <w:t>While binmix models may provide a cheap solution to accounting for detection bias</w:t>
      </w:r>
      <w:r w:rsidR="000F4CA3">
        <w:rPr>
          <w:lang w:val="en-CA"/>
        </w:rPr>
        <w:t xml:space="preserve">, many have criticized the validity of </w:t>
      </w:r>
      <w:r>
        <w:rPr>
          <w:lang w:val="en-CA"/>
        </w:rPr>
        <w:t xml:space="preserve">this </w:t>
      </w:r>
      <w:r w:rsidR="000F4CA3">
        <w:rPr>
          <w:lang w:val="en-CA"/>
        </w:rPr>
        <w:t>model</w:t>
      </w:r>
      <w:r>
        <w:rPr>
          <w:lang w:val="en-CA"/>
        </w:rPr>
        <w:t>ing approach</w:t>
      </w:r>
      <w:r w:rsidR="00927703">
        <w:rPr>
          <w:lang w:val="en-CA"/>
        </w:rPr>
        <w:t xml:space="preserve">, emphasizing that abundance estimates are highly sensitive to model assumption violations (e.g., Link et al., 2018). </w:t>
      </w:r>
      <w:r w:rsidR="00FE48DF">
        <w:rPr>
          <w:lang w:val="en-CA"/>
        </w:rPr>
        <w:t>In particular, b</w:t>
      </w:r>
      <w:r w:rsidR="000F4CA3">
        <w:rPr>
          <w:lang w:val="en-CA"/>
        </w:rPr>
        <w:t xml:space="preserve">inmix models (along with multimix models) assume that </w:t>
      </w:r>
      <w:r w:rsidR="00927703">
        <w:rPr>
          <w:lang w:val="en-CA"/>
        </w:rPr>
        <w:t>population size</w:t>
      </w:r>
      <w:r w:rsidR="000F4CA3">
        <w:rPr>
          <w:lang w:val="en-CA"/>
        </w:rPr>
        <w:t xml:space="preserve"> is fixed across </w:t>
      </w:r>
      <w:r w:rsidR="00927703">
        <w:rPr>
          <w:lang w:val="en-CA"/>
        </w:rPr>
        <w:t>across time</w:t>
      </w:r>
      <w:r w:rsidR="000F4CA3">
        <w:rPr>
          <w:lang w:val="en-CA"/>
        </w:rPr>
        <w:t>, i.e., that birth/death/immigration/emigration processes</w:t>
      </w:r>
      <w:r w:rsidR="00FE48DF">
        <w:rPr>
          <w:lang w:val="en-CA"/>
        </w:rPr>
        <w:t xml:space="preserve"> </w:t>
      </w:r>
      <w:r w:rsidR="00927703">
        <w:rPr>
          <w:lang w:val="en-CA"/>
        </w:rPr>
        <w:t>do</w:t>
      </w:r>
      <w:r w:rsidR="00FE48DF">
        <w:rPr>
          <w:lang w:val="en-CA"/>
        </w:rPr>
        <w:t xml:space="preserve"> not driv</w:t>
      </w:r>
      <w:r w:rsidR="00927703">
        <w:rPr>
          <w:lang w:val="en-CA"/>
        </w:rPr>
        <w:t>e</w:t>
      </w:r>
      <w:r w:rsidR="00FE48DF">
        <w:rPr>
          <w:lang w:val="en-CA"/>
        </w:rPr>
        <w:t xml:space="preserve"> the variation </w:t>
      </w:r>
      <w:r w:rsidR="00927703">
        <w:rPr>
          <w:lang w:val="en-CA"/>
        </w:rPr>
        <w:t>across repeat</w:t>
      </w:r>
      <w:r w:rsidR="00FE48DF">
        <w:rPr>
          <w:lang w:val="en-CA"/>
        </w:rPr>
        <w:t xml:space="preserve"> counts</w:t>
      </w:r>
      <w:r w:rsidR="000F4CA3">
        <w:rPr>
          <w:lang w:val="en-CA"/>
        </w:rPr>
        <w:t xml:space="preserve"> (). </w:t>
      </w:r>
      <w:r w:rsidR="00FE48DF">
        <w:rPr>
          <w:lang w:val="en-CA"/>
        </w:rPr>
        <w:t>Variation due to changes in true abundance should bias estimates of detection rate</w:t>
      </w:r>
      <w:r w:rsidR="00927703">
        <w:rPr>
          <w:lang w:val="en-CA"/>
        </w:rPr>
        <w:t xml:space="preserve"> and estimates of true population size</w:t>
      </w:r>
      <w:r w:rsidR="00FE48DF">
        <w:rPr>
          <w:lang w:val="en-CA"/>
        </w:rPr>
        <w:t xml:space="preserve"> (</w:t>
      </w:r>
      <w:r w:rsidR="00927703">
        <w:rPr>
          <w:lang w:val="en-CA"/>
        </w:rPr>
        <w:t>Link et al., 2018</w:t>
      </w:r>
      <w:r w:rsidR="00FE48DF">
        <w:rPr>
          <w:lang w:val="en-CA"/>
        </w:rPr>
        <w:t xml:space="preserve">), however, it is currently unclear how this violation impacts the bias and/or precision of estimates of the drivers of abundance. Because insects have high potential for closure assumptions to be violated (due to short life spans and high mobility) it is critical to understand how </w:t>
      </w:r>
      <w:r w:rsidR="008D15F0">
        <w:rPr>
          <w:lang w:val="en-CA"/>
        </w:rPr>
        <w:t xml:space="preserve">assumption </w:t>
      </w:r>
      <w:r w:rsidR="00FE48DF">
        <w:rPr>
          <w:lang w:val="en-CA"/>
        </w:rPr>
        <w:t>violations impact the ability of these models to capture the drivers of insect abundance</w:t>
      </w:r>
      <w:r w:rsidR="00927703">
        <w:rPr>
          <w:lang w:val="en-CA"/>
        </w:rPr>
        <w:t xml:space="preserve"> or whether more costly mark-recapture data is required to make reliable inference.</w:t>
      </w:r>
    </w:p>
    <w:p w14:paraId="7A8AFCB8" w14:textId="016602AD" w:rsidR="00120999" w:rsidRDefault="003057A7" w:rsidP="00985F89">
      <w:pPr>
        <w:spacing w:line="480" w:lineRule="auto"/>
        <w:ind w:firstLine="720"/>
        <w:rPr>
          <w:lang w:val="en-CA"/>
        </w:rPr>
      </w:pPr>
      <w:r w:rsidRPr="007149AB">
        <w:rPr>
          <w:highlight w:val="yellow"/>
          <w:lang w:val="en-CA"/>
        </w:rPr>
        <w:t>Ecologists or conservation biologists with resource constraints may wish to implement the simplest approach that accurately and precisely estimates drivers of insect abundance.</w:t>
      </w:r>
      <w:r>
        <w:rPr>
          <w:lang w:val="en-CA"/>
        </w:rPr>
        <w:t xml:space="preserve"> </w:t>
      </w:r>
      <w:r w:rsidR="008D69E9">
        <w:rPr>
          <w:lang w:val="en-CA"/>
        </w:rPr>
        <w:t xml:space="preserve">GLMs, binmix models, and multimix models </w:t>
      </w:r>
      <w:r>
        <w:rPr>
          <w:lang w:val="en-CA"/>
        </w:rPr>
        <w:t>could</w:t>
      </w:r>
      <w:r w:rsidR="008D69E9">
        <w:rPr>
          <w:lang w:val="en-CA"/>
        </w:rPr>
        <w:t xml:space="preserve"> have trade-offs in bias, precision and robustness. </w:t>
      </w:r>
      <w:r>
        <w:rPr>
          <w:lang w:val="en-CA"/>
        </w:rPr>
        <w:t xml:space="preserve">The required effort and financial and computing costs </w:t>
      </w:r>
      <w:r w:rsidR="008D69E9">
        <w:rPr>
          <w:lang w:val="en-CA"/>
        </w:rPr>
        <w:t xml:space="preserve">associated </w:t>
      </w:r>
      <w:r>
        <w:rPr>
          <w:lang w:val="en-CA"/>
        </w:rPr>
        <w:t xml:space="preserve">with the modeling and </w:t>
      </w:r>
      <w:r w:rsidR="008D69E9">
        <w:rPr>
          <w:lang w:val="en-CA"/>
        </w:rPr>
        <w:t>sampling protocols also vary, with multimix protocols requiring substantially higher input</w:t>
      </w:r>
      <w:r>
        <w:rPr>
          <w:lang w:val="en-CA"/>
        </w:rPr>
        <w:t xml:space="preserve">. </w:t>
      </w:r>
      <w:r w:rsidR="000D0274">
        <w:rPr>
          <w:lang w:val="en-CA"/>
        </w:rPr>
        <w:t xml:space="preserve">Determining </w:t>
      </w:r>
      <w:r w:rsidR="0075441E">
        <w:rPr>
          <w:lang w:val="en-CA"/>
        </w:rPr>
        <w:t xml:space="preserve">the appropriate modeling approach </w:t>
      </w:r>
      <w:r w:rsidR="008A4AE3">
        <w:rPr>
          <w:lang w:val="en-CA"/>
        </w:rPr>
        <w:t>requires</w:t>
      </w:r>
      <w:r w:rsidR="000D0274">
        <w:rPr>
          <w:lang w:val="en-CA"/>
        </w:rPr>
        <w:t xml:space="preserve"> clearer knowledge of </w:t>
      </w:r>
      <w:r w:rsidR="008D69E9">
        <w:rPr>
          <w:lang w:val="en-CA"/>
        </w:rPr>
        <w:t xml:space="preserve">the ecological and study design conditions that </w:t>
      </w:r>
      <w:r w:rsidR="0075441E">
        <w:rPr>
          <w:lang w:val="en-CA"/>
        </w:rPr>
        <w:t xml:space="preserve">could </w:t>
      </w:r>
      <w:r w:rsidR="008D69E9">
        <w:rPr>
          <w:lang w:val="en-CA"/>
        </w:rPr>
        <w:t>cause the conclusions made by these different methods to diverge</w:t>
      </w:r>
      <w:r w:rsidR="008A4AE3">
        <w:rPr>
          <w:lang w:val="en-CA"/>
        </w:rPr>
        <w:t xml:space="preserve">. In this study, we first collected insect abundance </w:t>
      </w:r>
      <w:r w:rsidR="00B20B5B">
        <w:rPr>
          <w:lang w:val="en-CA"/>
        </w:rPr>
        <w:t xml:space="preserve">data </w:t>
      </w:r>
      <w:r w:rsidR="008A4AE3">
        <w:rPr>
          <w:lang w:val="en-CA"/>
        </w:rPr>
        <w:t xml:space="preserve">using </w:t>
      </w:r>
      <w:r w:rsidR="00500D2A">
        <w:rPr>
          <w:lang w:val="en-CA"/>
        </w:rPr>
        <w:t>a</w:t>
      </w:r>
      <w:r w:rsidR="008A4AE3">
        <w:rPr>
          <w:lang w:val="en-CA"/>
        </w:rPr>
        <w:t xml:space="preserve"> </w:t>
      </w:r>
      <w:r w:rsidR="00500D2A">
        <w:rPr>
          <w:lang w:val="en-CA"/>
        </w:rPr>
        <w:t xml:space="preserve">sampling protocol that was compatible with </w:t>
      </w:r>
      <w:r w:rsidR="00500D2A">
        <w:rPr>
          <w:lang w:val="en-CA"/>
        </w:rPr>
        <w:lastRenderedPageBreak/>
        <w:t>all three modeling approaches (GLM, binmix, and multimix)</w:t>
      </w:r>
      <w:r w:rsidR="008A4AE3">
        <w:rPr>
          <w:lang w:val="en-CA"/>
        </w:rPr>
        <w:t xml:space="preserve">. </w:t>
      </w:r>
      <w:r w:rsidR="00B20B5B">
        <w:rPr>
          <w:lang w:val="en-CA"/>
        </w:rPr>
        <w:t>Specifically, w</w:t>
      </w:r>
      <w:r w:rsidR="008A4AE3">
        <w:rPr>
          <w:lang w:val="en-CA"/>
        </w:rPr>
        <w:t xml:space="preserve">e </w:t>
      </w:r>
      <w:r w:rsidR="00B20B5B">
        <w:rPr>
          <w:lang w:val="en-CA"/>
        </w:rPr>
        <w:t>collected</w:t>
      </w:r>
      <w:r w:rsidR="008A4AE3">
        <w:rPr>
          <w:lang w:val="en-CA"/>
        </w:rPr>
        <w:t xml:space="preserve"> </w:t>
      </w:r>
      <w:r w:rsidR="00B20B5B">
        <w:rPr>
          <w:lang w:val="en-CA"/>
        </w:rPr>
        <w:t xml:space="preserve">counts of eight </w:t>
      </w:r>
      <w:r w:rsidR="008A4AE3">
        <w:rPr>
          <w:lang w:val="en-CA"/>
        </w:rPr>
        <w:t>wild bee</w:t>
      </w:r>
      <w:r w:rsidR="00B20B5B">
        <w:rPr>
          <w:lang w:val="en-CA"/>
        </w:rPr>
        <w:t xml:space="preserve"> </w:t>
      </w:r>
      <w:r w:rsidR="008A4AE3">
        <w:rPr>
          <w:lang w:val="en-CA"/>
        </w:rPr>
        <w:t>s</w:t>
      </w:r>
      <w:r w:rsidR="00B20B5B">
        <w:rPr>
          <w:lang w:val="en-CA"/>
        </w:rPr>
        <w:t>pecies</w:t>
      </w:r>
      <w:r w:rsidR="008A4AE3">
        <w:rPr>
          <w:lang w:val="en-CA"/>
        </w:rPr>
        <w:t xml:space="preserve"> from five </w:t>
      </w:r>
      <w:r w:rsidR="000D0274">
        <w:rPr>
          <w:lang w:val="en-CA"/>
        </w:rPr>
        <w:t xml:space="preserve">urban parks with habitat restorations </w:t>
      </w:r>
      <w:r w:rsidR="008A4AE3">
        <w:rPr>
          <w:lang w:val="en-CA"/>
        </w:rPr>
        <w:t xml:space="preserve">and five </w:t>
      </w:r>
      <w:r w:rsidR="000D0274">
        <w:rPr>
          <w:lang w:val="en-CA"/>
        </w:rPr>
        <w:t>control</w:t>
      </w:r>
      <w:r w:rsidR="008A4AE3">
        <w:rPr>
          <w:lang w:val="en-CA"/>
        </w:rPr>
        <w:t xml:space="preserve"> parks</w:t>
      </w:r>
      <w:r w:rsidR="000D0274">
        <w:rPr>
          <w:lang w:val="en-CA"/>
        </w:rPr>
        <w:t xml:space="preserve"> that were not restored. We collected </w:t>
      </w:r>
      <w:r w:rsidR="0075441E">
        <w:rPr>
          <w:lang w:val="en-CA"/>
        </w:rPr>
        <w:t xml:space="preserve">the </w:t>
      </w:r>
      <w:r w:rsidR="000D0274">
        <w:rPr>
          <w:lang w:val="en-CA"/>
        </w:rPr>
        <w:t>abundance data</w:t>
      </w:r>
      <w:r w:rsidR="00B20B5B">
        <w:rPr>
          <w:lang w:val="en-CA"/>
        </w:rPr>
        <w:t xml:space="preserve"> across two years (2022 and 2023), with three repeat surveys conducted within each season</w:t>
      </w:r>
      <w:r w:rsidR="008A4AE3">
        <w:rPr>
          <w:lang w:val="en-CA"/>
        </w:rPr>
        <w:t xml:space="preserve">. We fit each </w:t>
      </w:r>
      <w:r w:rsidR="00B20B5B">
        <w:rPr>
          <w:lang w:val="en-CA"/>
        </w:rPr>
        <w:t xml:space="preserve">model to the count data </w:t>
      </w:r>
      <w:r w:rsidR="000D0274">
        <w:rPr>
          <w:lang w:val="en-CA"/>
        </w:rPr>
        <w:t>and</w:t>
      </w:r>
      <w:r w:rsidR="00B20B5B">
        <w:rPr>
          <w:lang w:val="en-CA"/>
        </w:rPr>
        <w:t xml:space="preserve"> compare</w:t>
      </w:r>
      <w:r w:rsidR="000D0274">
        <w:rPr>
          <w:lang w:val="en-CA"/>
        </w:rPr>
        <w:t>d</w:t>
      </w:r>
      <w:r w:rsidR="00B20B5B">
        <w:rPr>
          <w:lang w:val="en-CA"/>
        </w:rPr>
        <w:t xml:space="preserve"> </w:t>
      </w:r>
      <w:r w:rsidR="0075441E">
        <w:rPr>
          <w:lang w:val="en-CA"/>
        </w:rPr>
        <w:t>the</w:t>
      </w:r>
      <w:r w:rsidR="005369C5">
        <w:rPr>
          <w:lang w:val="en-CA"/>
        </w:rPr>
        <w:t xml:space="preserve"> </w:t>
      </w:r>
      <w:r w:rsidR="008D15F0">
        <w:rPr>
          <w:lang w:val="en-CA"/>
        </w:rPr>
        <w:t>estimate</w:t>
      </w:r>
      <w:r w:rsidR="0075441E">
        <w:rPr>
          <w:lang w:val="en-CA"/>
        </w:rPr>
        <w:t xml:space="preserve">d </w:t>
      </w:r>
      <w:r w:rsidR="005369C5">
        <w:rPr>
          <w:lang w:val="en-CA"/>
        </w:rPr>
        <w:t xml:space="preserve">effect of habitat restoration on abundance. </w:t>
      </w:r>
      <w:r w:rsidR="0075441E">
        <w:rPr>
          <w:lang w:val="en-CA"/>
        </w:rPr>
        <w:t>T</w:t>
      </w:r>
      <w:r w:rsidR="005369C5">
        <w:rPr>
          <w:lang w:val="en-CA"/>
        </w:rPr>
        <w:t xml:space="preserve">his case study </w:t>
      </w:r>
      <w:r w:rsidR="0075441E">
        <w:rPr>
          <w:lang w:val="en-CA"/>
        </w:rPr>
        <w:t>also provided</w:t>
      </w:r>
      <w:r w:rsidR="005369C5">
        <w:rPr>
          <w:lang w:val="en-CA"/>
        </w:rPr>
        <w:t xml:space="preserve"> </w:t>
      </w:r>
      <w:r w:rsidR="00B20B5B">
        <w:rPr>
          <w:lang w:val="en-CA"/>
        </w:rPr>
        <w:t>f</w:t>
      </w:r>
      <w:r w:rsidR="005369C5">
        <w:rPr>
          <w:lang w:val="en-CA"/>
        </w:rPr>
        <w:t>ield-realistic estimates of insect detection rates. To then understand more broadly how these modeling protocols compare, we used the field-realistic estimates to</w:t>
      </w:r>
      <w:r w:rsidR="000D0274">
        <w:rPr>
          <w:lang w:val="en-CA"/>
        </w:rPr>
        <w:t xml:space="preserve"> inform an insect population simulation study</w:t>
      </w:r>
      <w:r w:rsidR="005369C5">
        <w:rPr>
          <w:lang w:val="en-CA"/>
        </w:rPr>
        <w:t xml:space="preserve">. </w:t>
      </w:r>
      <w:r w:rsidR="000D0274">
        <w:rPr>
          <w:lang w:val="en-CA"/>
        </w:rPr>
        <w:t>For each modeling approach</w:t>
      </w:r>
      <w:r w:rsidR="008D15F0">
        <w:rPr>
          <w:lang w:val="en-CA"/>
        </w:rPr>
        <w:t xml:space="preserve">, we tested how key elements of </w:t>
      </w:r>
      <w:r w:rsidR="005369C5">
        <w:rPr>
          <w:lang w:val="en-CA"/>
        </w:rPr>
        <w:t>insect ecology (</w:t>
      </w:r>
      <w:r w:rsidR="008D15F0">
        <w:rPr>
          <w:lang w:val="en-CA"/>
        </w:rPr>
        <w:t>baseline detection rate and population size</w:t>
      </w:r>
      <w:r w:rsidR="005369C5">
        <w:rPr>
          <w:lang w:val="en-CA"/>
        </w:rPr>
        <w:t>) and study design (</w:t>
      </w:r>
      <w:r w:rsidR="008D15F0">
        <w:rPr>
          <w:lang w:val="en-CA"/>
        </w:rPr>
        <w:t>sample size and number of repeat visits</w:t>
      </w:r>
      <w:r w:rsidR="005369C5">
        <w:rPr>
          <w:lang w:val="en-CA"/>
        </w:rPr>
        <w:t xml:space="preserve">) </w:t>
      </w:r>
      <w:r w:rsidR="008D15F0">
        <w:rPr>
          <w:lang w:val="en-CA"/>
        </w:rPr>
        <w:t>impact the</w:t>
      </w:r>
      <w:r w:rsidR="00887C3E">
        <w:rPr>
          <w:lang w:val="en-CA"/>
        </w:rPr>
        <w:t xml:space="preserve"> </w:t>
      </w:r>
      <w:r w:rsidR="005369C5">
        <w:rPr>
          <w:lang w:val="en-CA"/>
        </w:rPr>
        <w:t>bias and precision</w:t>
      </w:r>
      <w:r w:rsidR="00887C3E">
        <w:rPr>
          <w:lang w:val="en-CA"/>
        </w:rPr>
        <w:t xml:space="preserve"> of</w:t>
      </w:r>
      <w:r w:rsidR="000D0274">
        <w:rPr>
          <w:lang w:val="en-CA"/>
        </w:rPr>
        <w:t xml:space="preserve"> the</w:t>
      </w:r>
      <w:r w:rsidR="008D15F0">
        <w:rPr>
          <w:lang w:val="en-CA"/>
        </w:rPr>
        <w:t xml:space="preserve"> </w:t>
      </w:r>
      <w:r w:rsidR="000D0274">
        <w:rPr>
          <w:lang w:val="en-CA"/>
        </w:rPr>
        <w:t>estimated effect of a simulated</w:t>
      </w:r>
      <w:r w:rsidR="008D15F0">
        <w:rPr>
          <w:lang w:val="en-CA"/>
        </w:rPr>
        <w:t xml:space="preserve"> </w:t>
      </w:r>
      <w:r w:rsidR="000D0274">
        <w:rPr>
          <w:lang w:val="en-CA"/>
        </w:rPr>
        <w:t>“restoration”</w:t>
      </w:r>
      <w:r w:rsidR="005369C5">
        <w:rPr>
          <w:lang w:val="en-CA"/>
        </w:rPr>
        <w:t>.</w:t>
      </w:r>
      <w:r w:rsidR="008D15F0">
        <w:rPr>
          <w:lang w:val="en-CA"/>
        </w:rPr>
        <w:t xml:space="preserve"> Further, we used the simulation to test whether multimix models versus binmix models are more robust to violations of population closure assumptions. </w:t>
      </w:r>
      <w:r w:rsidR="008D15F0" w:rsidRPr="007149AB">
        <w:rPr>
          <w:highlight w:val="yellow"/>
          <w:lang w:val="en-CA"/>
        </w:rPr>
        <w:t xml:space="preserve">Together, our </w:t>
      </w:r>
      <w:r w:rsidR="000D0274" w:rsidRPr="007149AB">
        <w:rPr>
          <w:highlight w:val="yellow"/>
          <w:lang w:val="en-CA"/>
        </w:rPr>
        <w:t>results</w:t>
      </w:r>
      <w:r w:rsidR="008D15F0" w:rsidRPr="007149AB">
        <w:rPr>
          <w:highlight w:val="yellow"/>
          <w:lang w:val="en-CA"/>
        </w:rPr>
        <w:t xml:space="preserve"> </w:t>
      </w:r>
      <w:r w:rsidR="000D0274" w:rsidRPr="007149AB">
        <w:rPr>
          <w:highlight w:val="yellow"/>
          <w:lang w:val="en-CA"/>
        </w:rPr>
        <w:t>provide needed guidance</w:t>
      </w:r>
      <w:r w:rsidR="008D15F0" w:rsidRPr="007149AB">
        <w:rPr>
          <w:highlight w:val="yellow"/>
          <w:lang w:val="en-CA"/>
        </w:rPr>
        <w:t xml:space="preserve"> </w:t>
      </w:r>
      <w:r w:rsidR="000D0274" w:rsidRPr="007149AB">
        <w:rPr>
          <w:highlight w:val="yellow"/>
          <w:lang w:val="en-CA"/>
        </w:rPr>
        <w:t xml:space="preserve">on </w:t>
      </w:r>
      <w:r w:rsidR="0075441E" w:rsidRPr="007149AB">
        <w:rPr>
          <w:highlight w:val="yellow"/>
          <w:lang w:val="en-CA"/>
        </w:rPr>
        <w:t>which approach to use to estimate the drivers of insect abundance when detection is less than perfect</w:t>
      </w:r>
      <w:r w:rsidR="008D15F0" w:rsidRPr="007149AB">
        <w:rPr>
          <w:highlight w:val="yellow"/>
          <w:lang w:val="en-CA"/>
        </w:rPr>
        <w:t>.</w:t>
      </w:r>
      <w:r w:rsidR="008D15F0">
        <w:rPr>
          <w:lang w:val="en-CA"/>
        </w:rPr>
        <w:t xml:space="preserve"> </w:t>
      </w:r>
    </w:p>
    <w:p w14:paraId="5B26EA6C" w14:textId="5816B783" w:rsidR="008C4499" w:rsidRDefault="008C4499" w:rsidP="00B33FC4">
      <w:pPr>
        <w:spacing w:line="480" w:lineRule="auto"/>
        <w:rPr>
          <w:b/>
          <w:bCs/>
          <w:lang w:val="en-CA"/>
        </w:rPr>
      </w:pPr>
      <w:r>
        <w:rPr>
          <w:b/>
          <w:bCs/>
          <w:lang w:val="en-CA"/>
        </w:rPr>
        <w:t>Methods</w:t>
      </w:r>
    </w:p>
    <w:p w14:paraId="2F770CEA" w14:textId="64D359B5" w:rsidR="00F75794" w:rsidRDefault="00B3215B" w:rsidP="00B33FC4">
      <w:pPr>
        <w:spacing w:line="480" w:lineRule="auto"/>
        <w:rPr>
          <w:i/>
          <w:iCs/>
          <w:lang w:val="en-CA"/>
        </w:rPr>
      </w:pPr>
      <w:r>
        <w:rPr>
          <w:i/>
          <w:iCs/>
          <w:lang w:val="en-CA"/>
        </w:rPr>
        <w:t>Field</w:t>
      </w:r>
      <w:r w:rsidR="00B512B6">
        <w:rPr>
          <w:i/>
          <w:iCs/>
          <w:lang w:val="en-CA"/>
        </w:rPr>
        <w:t xml:space="preserve"> study</w:t>
      </w:r>
    </w:p>
    <w:p w14:paraId="22506949" w14:textId="78BC75E5" w:rsidR="00B33FC4" w:rsidRDefault="00B3215B" w:rsidP="00B33FC4">
      <w:pPr>
        <w:spacing w:line="480" w:lineRule="auto"/>
        <w:ind w:firstLine="720"/>
        <w:rPr>
          <w:lang w:val="en-CA"/>
        </w:rPr>
      </w:pPr>
      <w:r w:rsidRPr="007149AB">
        <w:rPr>
          <w:highlight w:val="yellow"/>
          <w:lang w:val="en-CA"/>
        </w:rPr>
        <w:t xml:space="preserve">For our field-based case study, we </w:t>
      </w:r>
      <w:r w:rsidR="00B33FC4" w:rsidRPr="007149AB">
        <w:rPr>
          <w:highlight w:val="yellow"/>
          <w:lang w:val="en-CA"/>
        </w:rPr>
        <w:t>aimed to</w:t>
      </w:r>
      <w:r w:rsidRPr="007149AB">
        <w:rPr>
          <w:highlight w:val="yellow"/>
          <w:lang w:val="en-CA"/>
        </w:rPr>
        <w:t xml:space="preserve"> estimat</w:t>
      </w:r>
      <w:r w:rsidR="00B33FC4" w:rsidRPr="007149AB">
        <w:rPr>
          <w:highlight w:val="yellow"/>
          <w:lang w:val="en-CA"/>
        </w:rPr>
        <w:t>e</w:t>
      </w:r>
      <w:r w:rsidRPr="007149AB">
        <w:rPr>
          <w:highlight w:val="yellow"/>
          <w:lang w:val="en-CA"/>
        </w:rPr>
        <w:t xml:space="preserve"> the effects of </w:t>
      </w:r>
      <w:r w:rsidR="00B33FC4" w:rsidRPr="007149AB">
        <w:rPr>
          <w:highlight w:val="yellow"/>
          <w:lang w:val="en-CA"/>
        </w:rPr>
        <w:t>urban habitat restoration on the abundance of wild bees.</w:t>
      </w:r>
      <w:r w:rsidR="00B33FC4">
        <w:rPr>
          <w:lang w:val="en-CA"/>
        </w:rPr>
        <w:t xml:space="preserve"> To do so, we </w:t>
      </w:r>
      <w:r w:rsidR="00F52316">
        <w:rPr>
          <w:lang w:val="en-CA"/>
        </w:rPr>
        <w:t xml:space="preserve">implemented an abundance </w:t>
      </w:r>
      <w:r w:rsidR="00B33FC4">
        <w:rPr>
          <w:lang w:val="en-CA"/>
        </w:rPr>
        <w:t xml:space="preserve">protocol that was compatible with all three modeling approaches (GLM, binmix and multimix). We selected a sample of five urban parks in Vancouver, Canada, that received a habitat restoration. We compared these against five similar urban parks that did not receive a habitat restoration (hereafter, “control” parks). In another study, using a wider sample of parks that encompasses the ten that we studied here, we examined the effects of the habitat restoration and found that the restorations increased pollinator species occurrence (Ulrich and Sargent, 2024). Increased pollinator occurrence </w:t>
      </w:r>
      <w:r w:rsidR="00B33FC4">
        <w:rPr>
          <w:lang w:val="en-CA"/>
        </w:rPr>
        <w:lastRenderedPageBreak/>
        <w:t>translated into sustained species richness gains in restored parks (Ulrich and Sargent, 2024). In that study, we did not quantify the effects on species abundance (Ulrich and Sargent, 2024). The restorations significantly increased flower species richness and marginally increased flower species abundance (Ulrich and Sargent, 2024). Although we did not measure vegetation complexity, vegetation was approximately knee-height in restored parks compared to approximately ankle-height in control parks (Supplemental figure with images of park vegetation). In restored parks, vegetation was unmowed during April – September season compared to mowed bi-weekly in control parks.</w:t>
      </w:r>
      <w:r w:rsidR="00EE5BA8">
        <w:rPr>
          <w:lang w:val="en-CA"/>
        </w:rPr>
        <w:t xml:space="preserve"> Restored parks contained a mix of spontaneous and seeded flowers that provide food resources for wild bees; control parks were dominated by turfgrass but contained spontaneous flower resources (Ulrich and Sargent, 2024).</w:t>
      </w:r>
      <w:r w:rsidR="00985F89">
        <w:rPr>
          <w:lang w:val="en-CA"/>
        </w:rPr>
        <w:t xml:space="preserve"> Managed flowering woody plants (trees and shrubs) occurred sporadically across all sites (Ulrich and Sargent, 2024).</w:t>
      </w:r>
    </w:p>
    <w:p w14:paraId="267D5A67" w14:textId="2068DF13" w:rsidR="00B512B6" w:rsidRPr="00F52316" w:rsidRDefault="00B33FC4" w:rsidP="00B33FC4">
      <w:pPr>
        <w:spacing w:line="480" w:lineRule="auto"/>
        <w:ind w:firstLine="720"/>
        <w:rPr>
          <w:lang w:val="en-CA"/>
        </w:rPr>
      </w:pPr>
      <w:r w:rsidRPr="007149AB">
        <w:rPr>
          <w:highlight w:val="yellow"/>
          <w:lang w:val="en-CA"/>
        </w:rPr>
        <w:t>We targeted abundance surveys on eight wild bee species</w:t>
      </w:r>
      <w:r>
        <w:rPr>
          <w:lang w:val="en-CA"/>
        </w:rPr>
        <w:t xml:space="preserve"> from four different wild bee families: </w:t>
      </w:r>
      <w:r w:rsidR="00224972">
        <w:rPr>
          <w:i/>
          <w:iCs/>
          <w:lang w:val="en-CA"/>
        </w:rPr>
        <w:t xml:space="preserve">Agapostemon texanus </w:t>
      </w:r>
      <w:r w:rsidR="00224972">
        <w:rPr>
          <w:lang w:val="en-CA"/>
        </w:rPr>
        <w:t xml:space="preserve">(Halictidae), </w:t>
      </w:r>
      <w:r w:rsidR="00224972">
        <w:rPr>
          <w:i/>
          <w:iCs/>
          <w:lang w:val="en-CA"/>
        </w:rPr>
        <w:t xml:space="preserve">Andrena prunorum </w:t>
      </w:r>
      <w:r w:rsidR="00224972">
        <w:rPr>
          <w:lang w:val="en-CA"/>
        </w:rPr>
        <w:t xml:space="preserve">(Andrenidae), </w:t>
      </w:r>
      <w:r w:rsidR="00224972">
        <w:rPr>
          <w:i/>
          <w:iCs/>
          <w:lang w:val="en-CA"/>
        </w:rPr>
        <w:t>Anthidium</w:t>
      </w:r>
      <w:r>
        <w:rPr>
          <w:i/>
          <w:iCs/>
          <w:lang w:val="en-CA"/>
        </w:rPr>
        <w:t xml:space="preserve"> </w:t>
      </w:r>
      <w:r w:rsidR="00224972">
        <w:rPr>
          <w:i/>
          <w:iCs/>
          <w:lang w:val="en-CA"/>
        </w:rPr>
        <w:t>oblongatum</w:t>
      </w:r>
      <w:r>
        <w:rPr>
          <w:i/>
          <w:iCs/>
          <w:lang w:val="en-CA"/>
        </w:rPr>
        <w:t xml:space="preserve"> </w:t>
      </w:r>
      <w:r>
        <w:rPr>
          <w:lang w:val="en-CA"/>
        </w:rPr>
        <w:t>(</w:t>
      </w:r>
      <w:r w:rsidR="00224972">
        <w:rPr>
          <w:lang w:val="en-CA"/>
        </w:rPr>
        <w:t>Megachilidae</w:t>
      </w:r>
      <w:r>
        <w:rPr>
          <w:lang w:val="en-CA"/>
        </w:rPr>
        <w:t xml:space="preserve">), </w:t>
      </w:r>
      <w:r>
        <w:rPr>
          <w:i/>
          <w:iCs/>
          <w:lang w:val="en-CA"/>
        </w:rPr>
        <w:t xml:space="preserve">Bombus flavifrons </w:t>
      </w:r>
      <w:r>
        <w:rPr>
          <w:lang w:val="en-CA"/>
        </w:rPr>
        <w:t xml:space="preserve">(Apidae), </w:t>
      </w:r>
      <w:r>
        <w:rPr>
          <w:i/>
          <w:iCs/>
          <w:lang w:val="en-CA"/>
        </w:rPr>
        <w:t xml:space="preserve">Bombus mixtus </w:t>
      </w:r>
      <w:r>
        <w:rPr>
          <w:lang w:val="en-CA"/>
        </w:rPr>
        <w:t xml:space="preserve">(Apidae), </w:t>
      </w:r>
      <w:r w:rsidR="00224972">
        <w:rPr>
          <w:i/>
          <w:iCs/>
          <w:lang w:val="en-CA"/>
        </w:rPr>
        <w:t xml:space="preserve">Halictus rubicundus </w:t>
      </w:r>
      <w:r>
        <w:rPr>
          <w:lang w:val="en-CA"/>
        </w:rPr>
        <w:t>(</w:t>
      </w:r>
      <w:r w:rsidR="00224972">
        <w:rPr>
          <w:lang w:val="en-CA"/>
        </w:rPr>
        <w:t>Halictidae</w:t>
      </w:r>
      <w:r>
        <w:rPr>
          <w:lang w:val="en-CA"/>
        </w:rPr>
        <w:t xml:space="preserve">), </w:t>
      </w:r>
      <w:r w:rsidR="00224972">
        <w:rPr>
          <w:i/>
          <w:iCs/>
          <w:lang w:val="en-CA"/>
        </w:rPr>
        <w:t xml:space="preserve">Megachile spp. </w:t>
      </w:r>
      <w:r w:rsidR="00224972">
        <w:rPr>
          <w:lang w:val="en-CA"/>
        </w:rPr>
        <w:t xml:space="preserve">(not including the invasive </w:t>
      </w:r>
      <w:r w:rsidR="00224972">
        <w:rPr>
          <w:i/>
          <w:iCs/>
          <w:lang w:val="en-CA"/>
        </w:rPr>
        <w:t>Megachile rotundata</w:t>
      </w:r>
      <w:r w:rsidR="00224972">
        <w:rPr>
          <w:lang w:val="en-CA"/>
        </w:rPr>
        <w:t>)</w:t>
      </w:r>
      <w:r>
        <w:rPr>
          <w:i/>
          <w:iCs/>
          <w:lang w:val="en-CA"/>
        </w:rPr>
        <w:t xml:space="preserve"> </w:t>
      </w:r>
      <w:r>
        <w:rPr>
          <w:lang w:val="en-CA"/>
        </w:rPr>
        <w:t>(</w:t>
      </w:r>
      <w:r w:rsidR="00224972">
        <w:rPr>
          <w:lang w:val="en-CA"/>
        </w:rPr>
        <w:t>Megachilidae</w:t>
      </w:r>
      <w:r>
        <w:rPr>
          <w:lang w:val="en-CA"/>
        </w:rPr>
        <w:t xml:space="preserve">), </w:t>
      </w:r>
      <w:r w:rsidR="00224972">
        <w:rPr>
          <w:lang w:val="en-CA"/>
        </w:rPr>
        <w:t xml:space="preserve">and </w:t>
      </w:r>
      <w:r w:rsidR="00224972">
        <w:rPr>
          <w:i/>
          <w:iCs/>
          <w:lang w:val="en-CA"/>
        </w:rPr>
        <w:t>Melissodes microstictus</w:t>
      </w:r>
      <w:r>
        <w:rPr>
          <w:i/>
          <w:iCs/>
          <w:lang w:val="en-CA"/>
        </w:rPr>
        <w:t xml:space="preserve"> </w:t>
      </w:r>
      <w:r>
        <w:rPr>
          <w:lang w:val="en-CA"/>
        </w:rPr>
        <w:t>(Apidae)</w:t>
      </w:r>
      <w:r w:rsidR="00224972">
        <w:rPr>
          <w:lang w:val="en-CA"/>
        </w:rPr>
        <w:t>. We chose these species because we could identify them in the field</w:t>
      </w:r>
      <w:r w:rsidR="00EE5BA8">
        <w:rPr>
          <w:lang w:val="en-CA"/>
        </w:rPr>
        <w:t xml:space="preserve">. This </w:t>
      </w:r>
      <w:r w:rsidR="00224972">
        <w:rPr>
          <w:lang w:val="en-CA"/>
        </w:rPr>
        <w:t>allow</w:t>
      </w:r>
      <w:r w:rsidR="00EE5BA8">
        <w:rPr>
          <w:lang w:val="en-CA"/>
        </w:rPr>
        <w:t>ed</w:t>
      </w:r>
      <w:r w:rsidR="00224972">
        <w:rPr>
          <w:lang w:val="en-CA"/>
        </w:rPr>
        <w:t xml:space="preserve"> us to avoid lethal sampling which would cause violations of population closure assumptions. Additionally, the species </w:t>
      </w:r>
      <w:r w:rsidR="00EE5BA8">
        <w:rPr>
          <w:lang w:val="en-CA"/>
        </w:rPr>
        <w:t>were</w:t>
      </w:r>
      <w:r w:rsidR="00224972">
        <w:rPr>
          <w:lang w:val="en-CA"/>
        </w:rPr>
        <w:t xml:space="preserve"> common enough in our system that previous studies </w:t>
      </w:r>
      <w:r w:rsidR="00EE5BA8">
        <w:rPr>
          <w:lang w:val="en-CA"/>
        </w:rPr>
        <w:t>(Ulrich and Sargent, 2024) could provide</w:t>
      </w:r>
      <w:r w:rsidR="00224972">
        <w:rPr>
          <w:lang w:val="en-CA"/>
        </w:rPr>
        <w:t xml:space="preserve"> </w:t>
      </w:r>
      <w:r w:rsidR="00224972" w:rsidRPr="00EE5BA8">
        <w:rPr>
          <w:i/>
          <w:iCs/>
          <w:lang w:val="en-CA"/>
        </w:rPr>
        <w:t>a priori</w:t>
      </w:r>
      <w:r w:rsidR="00224972">
        <w:rPr>
          <w:lang w:val="en-CA"/>
        </w:rPr>
        <w:t xml:space="preserve"> information on the timing of peak abundance. Targeting our sampling at the timing of peak abundance allowed us to limit changes in abundance caused by rapid births or deaths</w:t>
      </w:r>
      <w:r w:rsidR="00EE5BA8">
        <w:rPr>
          <w:lang w:val="en-CA"/>
        </w:rPr>
        <w:t xml:space="preserve"> </w:t>
      </w:r>
      <w:r w:rsidR="00224972">
        <w:rPr>
          <w:lang w:val="en-CA"/>
        </w:rPr>
        <w:t xml:space="preserve">which would </w:t>
      </w:r>
      <w:r w:rsidR="00EE5BA8">
        <w:rPr>
          <w:lang w:val="en-CA"/>
        </w:rPr>
        <w:t xml:space="preserve">also </w:t>
      </w:r>
      <w:r w:rsidR="00224972">
        <w:rPr>
          <w:lang w:val="en-CA"/>
        </w:rPr>
        <w:t>violate population closure assumptions. We collected counts in two periods: In early June we conducted three repeat surveys for</w:t>
      </w:r>
      <w:r w:rsidR="00EE5BA8">
        <w:rPr>
          <w:lang w:val="en-CA"/>
        </w:rPr>
        <w:t xml:space="preserve"> the earlier phenology species</w:t>
      </w:r>
      <w:r w:rsidR="00224972">
        <w:rPr>
          <w:lang w:val="en-CA"/>
        </w:rPr>
        <w:t xml:space="preserve"> </w:t>
      </w:r>
      <w:r w:rsidR="00224972">
        <w:rPr>
          <w:i/>
          <w:iCs/>
          <w:lang w:val="en-CA"/>
        </w:rPr>
        <w:t>A. texanus</w:t>
      </w:r>
      <w:r w:rsidR="00224972">
        <w:rPr>
          <w:lang w:val="en-CA"/>
        </w:rPr>
        <w:t xml:space="preserve">, </w:t>
      </w:r>
      <w:r w:rsidR="00224972">
        <w:rPr>
          <w:i/>
          <w:iCs/>
          <w:lang w:val="en-CA"/>
        </w:rPr>
        <w:t xml:space="preserve">B. </w:t>
      </w:r>
      <w:r w:rsidR="00224972">
        <w:rPr>
          <w:lang w:val="en-CA"/>
        </w:rPr>
        <w:t xml:space="preserve">flavifrons and </w:t>
      </w:r>
      <w:r w:rsidR="00224972" w:rsidRPr="00224972">
        <w:rPr>
          <w:i/>
          <w:iCs/>
          <w:lang w:val="en-CA"/>
        </w:rPr>
        <w:t>B.</w:t>
      </w:r>
      <w:r w:rsidR="00224972">
        <w:rPr>
          <w:i/>
          <w:iCs/>
          <w:lang w:val="en-CA"/>
        </w:rPr>
        <w:t xml:space="preserve"> mixtus</w:t>
      </w:r>
      <w:r w:rsidR="00224972">
        <w:rPr>
          <w:lang w:val="en-CA"/>
        </w:rPr>
        <w:t xml:space="preserve">; in the mid summer mid July we conducted the repeat surveys for </w:t>
      </w:r>
      <w:r w:rsidR="00EE5BA8">
        <w:rPr>
          <w:lang w:val="en-CA"/>
        </w:rPr>
        <w:t xml:space="preserve">species with later phenologies </w:t>
      </w:r>
      <w:r w:rsidR="00224972">
        <w:rPr>
          <w:i/>
          <w:iCs/>
          <w:lang w:val="en-CA"/>
        </w:rPr>
        <w:t>A. prunorum</w:t>
      </w:r>
      <w:r w:rsidR="00224972">
        <w:rPr>
          <w:lang w:val="en-CA"/>
        </w:rPr>
        <w:t xml:space="preserve">, </w:t>
      </w:r>
      <w:r w:rsidR="00224972">
        <w:rPr>
          <w:i/>
          <w:iCs/>
          <w:lang w:val="en-CA"/>
        </w:rPr>
        <w:t xml:space="preserve">A. </w:t>
      </w:r>
      <w:r w:rsidR="00224972" w:rsidRPr="00224972">
        <w:rPr>
          <w:i/>
          <w:iCs/>
          <w:lang w:val="en-CA"/>
        </w:rPr>
        <w:lastRenderedPageBreak/>
        <w:t>oblongatum</w:t>
      </w:r>
      <w:r w:rsidR="00224972">
        <w:rPr>
          <w:lang w:val="en-CA"/>
        </w:rPr>
        <w:t xml:space="preserve">, </w:t>
      </w:r>
      <w:r w:rsidR="00224972">
        <w:rPr>
          <w:i/>
          <w:iCs/>
          <w:lang w:val="en-CA"/>
        </w:rPr>
        <w:t>H. rubicundus</w:t>
      </w:r>
      <w:r w:rsidR="00224972">
        <w:rPr>
          <w:lang w:val="en-CA"/>
        </w:rPr>
        <w:t xml:space="preserve">, </w:t>
      </w:r>
      <w:r w:rsidR="00224972">
        <w:rPr>
          <w:i/>
          <w:iCs/>
          <w:lang w:val="en-CA"/>
        </w:rPr>
        <w:t>Megachile spp.</w:t>
      </w:r>
      <w:r w:rsidR="00224972">
        <w:rPr>
          <w:lang w:val="en-CA"/>
        </w:rPr>
        <w:t xml:space="preserve">, and </w:t>
      </w:r>
      <w:r w:rsidR="00224972">
        <w:rPr>
          <w:i/>
          <w:iCs/>
          <w:lang w:val="en-CA"/>
        </w:rPr>
        <w:t>Melissodes microstictus</w:t>
      </w:r>
      <w:r w:rsidR="00224972">
        <w:rPr>
          <w:lang w:val="en-CA"/>
        </w:rPr>
        <w:t>.</w:t>
      </w:r>
      <w:r w:rsidR="00EE5BA8">
        <w:rPr>
          <w:lang w:val="en-CA"/>
        </w:rPr>
        <w:t xml:space="preserve"> To maintain closure, we conducted the repeat counts within the most rapid timescale possible. The first and last repeat surveys at each site were conducted within a maximum window of eight days.</w:t>
      </w:r>
      <w:r w:rsidR="00F52316">
        <w:rPr>
          <w:lang w:val="en-CA"/>
        </w:rPr>
        <w:t xml:space="preserve"> </w:t>
      </w:r>
      <w:r w:rsidR="00F52316">
        <w:rPr>
          <w:i/>
          <w:iCs/>
          <w:lang w:val="en-CA"/>
        </w:rPr>
        <w:t xml:space="preserve">A. prunorum </w:t>
      </w:r>
      <w:r w:rsidR="00F52316">
        <w:rPr>
          <w:lang w:val="en-CA"/>
        </w:rPr>
        <w:t>was only surveyed in the second year of the study.</w:t>
      </w:r>
    </w:p>
    <w:p w14:paraId="17F125C1" w14:textId="45E5C658" w:rsidR="00EE5BA8" w:rsidRDefault="00EE5BA8" w:rsidP="00B33FC4">
      <w:pPr>
        <w:spacing w:line="480" w:lineRule="auto"/>
        <w:ind w:firstLine="720"/>
        <w:rPr>
          <w:lang w:val="en-CA"/>
        </w:rPr>
      </w:pPr>
      <w:r w:rsidRPr="007149AB">
        <w:rPr>
          <w:highlight w:val="yellow"/>
          <w:lang w:val="en-CA"/>
        </w:rPr>
        <w:t>A one-hectare survey area was designated for each park,</w:t>
      </w:r>
      <w:r>
        <w:rPr>
          <w:lang w:val="en-CA"/>
        </w:rPr>
        <w:t xml:space="preserve"> focusing on </w:t>
      </w:r>
      <w:r w:rsidR="00985F89">
        <w:rPr>
          <w:lang w:val="en-CA"/>
        </w:rPr>
        <w:t xml:space="preserve">a </w:t>
      </w:r>
      <w:r>
        <w:rPr>
          <w:lang w:val="en-CA"/>
        </w:rPr>
        <w:t>restor</w:t>
      </w:r>
      <w:r w:rsidR="00985F89">
        <w:rPr>
          <w:lang w:val="en-CA"/>
        </w:rPr>
        <w:t>ed vegetation</w:t>
      </w:r>
      <w:r>
        <w:rPr>
          <w:lang w:val="en-CA"/>
        </w:rPr>
        <w:t xml:space="preserve"> area for the restored parks </w:t>
      </w:r>
      <w:r w:rsidR="00985F89">
        <w:rPr>
          <w:lang w:val="en-CA"/>
        </w:rPr>
        <w:t xml:space="preserve">or conventionally managed turfgrass space in control parks </w:t>
      </w:r>
      <w:r>
        <w:rPr>
          <w:lang w:val="en-CA"/>
        </w:rPr>
        <w:t xml:space="preserve">(the same survey areas used </w:t>
      </w:r>
      <w:r w:rsidR="00985F89">
        <w:rPr>
          <w:lang w:val="en-CA"/>
        </w:rPr>
        <w:t>in</w:t>
      </w:r>
      <w:r>
        <w:rPr>
          <w:lang w:val="en-CA"/>
        </w:rPr>
        <w:t xml:space="preserve"> Ulrich and Sargent, 2024).</w:t>
      </w:r>
      <w:r w:rsidR="00985F89">
        <w:rPr>
          <w:lang w:val="en-CA"/>
        </w:rPr>
        <w:t xml:space="preserve"> To collect pollinators, we used a sweep net, walking a spiral-transect through the survey area, netting all individuals from our focal species that we saw. We repeated the spiral transect until the survey time ended. Surveys lasted 45 minutes, with the timer paused for insect handling. Netted insects were placed on ice until the completion of the survey. </w:t>
      </w:r>
      <w:r w:rsidR="00F52316">
        <w:rPr>
          <w:lang w:val="en-CA"/>
        </w:rPr>
        <w:t>After the survey ended, we marked the thorax of each captured bee. Marks were applied by placing chilled bees in vial with a plunger on one end and a wide mesh covering on the other. After pressing bees against the mesh, we painted a mark with a coloured paint pen (Molotow brand with 2.0mm round tip) (Figure 2). Marks were uniquely coloured by survey, allowing us to track the number of individuals with each possible detection history (a requirement of the multimix approach). Marking required approximately 30 seconds of effort per captured bee. Simple counts of the number of individuals captured during the survey were noted for the GLM or binmix approaches. To limit additional detection biases, all surveys were conducted by a single observer (J.U.), only during full sun conditions between 10:00 AM and 4:00 PM.</w:t>
      </w:r>
    </w:p>
    <w:p w14:paraId="094B850C" w14:textId="72BFDB70" w:rsidR="007A4BD1" w:rsidRDefault="007A4BD1" w:rsidP="00B33FC4">
      <w:pPr>
        <w:spacing w:line="480" w:lineRule="auto"/>
        <w:rPr>
          <w:i/>
          <w:iCs/>
          <w:lang w:val="en-CA"/>
        </w:rPr>
      </w:pPr>
      <w:commentRangeStart w:id="0"/>
      <w:r w:rsidRPr="007A4BD1">
        <w:rPr>
          <w:i/>
          <w:iCs/>
          <w:lang w:val="en-CA"/>
        </w:rPr>
        <w:t>Statistical analyses</w:t>
      </w:r>
      <w:commentRangeEnd w:id="0"/>
      <w:r>
        <w:rPr>
          <w:rStyle w:val="CommentReference"/>
        </w:rPr>
        <w:commentReference w:id="0"/>
      </w:r>
    </w:p>
    <w:p w14:paraId="1EAD6A52" w14:textId="2BA7008D" w:rsidR="007149AB" w:rsidRDefault="007149AB" w:rsidP="007149AB">
      <w:pPr>
        <w:spacing w:line="480" w:lineRule="auto"/>
        <w:ind w:firstLine="720"/>
        <w:rPr>
          <w:lang w:val="en-CA"/>
        </w:rPr>
      </w:pPr>
      <w:r>
        <w:rPr>
          <w:lang w:val="en-CA"/>
        </w:rPr>
        <w:t xml:space="preserve">To estimate the effects of restoration on insect abundance, we developed custom-tailored models written in the </w:t>
      </w:r>
      <w:r w:rsidR="00D71B30">
        <w:rPr>
          <w:lang w:val="en-CA"/>
        </w:rPr>
        <w:t>probabilistic</w:t>
      </w:r>
      <w:r>
        <w:rPr>
          <w:lang w:val="en-CA"/>
        </w:rPr>
        <w:t xml:space="preserve"> programming language Stan (), implemented in R using the </w:t>
      </w:r>
      <w:r>
        <w:rPr>
          <w:lang w:val="en-CA"/>
        </w:rPr>
        <w:lastRenderedPageBreak/>
        <w:t xml:space="preserve">package rstan (). These models use Bayesian inference to estimate distributions of parameter </w:t>
      </w:r>
      <w:r w:rsidR="00D71B30">
        <w:rPr>
          <w:lang w:val="en-CA"/>
        </w:rPr>
        <w:t xml:space="preserve">values that are consistent with the data and specified prior parameter distributions. </w:t>
      </w:r>
    </w:p>
    <w:p w14:paraId="03EF45AA" w14:textId="23BB10E8" w:rsidR="00D71B30" w:rsidRDefault="00D71B30" w:rsidP="00544EB6">
      <w:pPr>
        <w:spacing w:line="480" w:lineRule="auto"/>
        <w:ind w:firstLine="720"/>
        <w:rPr>
          <w:rFonts w:eastAsiaTheme="minorEastAsia"/>
          <w:lang w:val="en-CA"/>
        </w:rPr>
      </w:pPr>
      <w:r>
        <w:rPr>
          <w:lang w:val="en-CA"/>
        </w:rPr>
        <w:t xml:space="preserve">For the GLM model, we specified the counts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Pr>
          <w:lang w:val="en-CA"/>
        </w:rPr>
        <w:t xml:space="preserve"> as the outcome of </w:t>
      </w:r>
      <w:r w:rsidR="00544EB6">
        <w:rPr>
          <w:lang w:val="en-CA"/>
        </w:rPr>
        <w:t xml:space="preserve">a </w:t>
      </w:r>
      <w:r>
        <w:rPr>
          <w:lang w:val="en-CA"/>
        </w:rPr>
        <w:t xml:space="preserve">negative binomial trial with a mean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Pr>
          <w:rFonts w:eastAsiaTheme="minorEastAsia"/>
          <w:lang w:val="en-CA"/>
        </w:rPr>
        <w:t xml:space="preserve"> and dispersion </w:t>
      </w:r>
      <m:oMath>
        <m:r>
          <w:rPr>
            <w:rFonts w:ascii="Cambria Math" w:eastAsiaTheme="minorEastAsia" w:hAnsi="Cambria Math"/>
            <w:lang w:val="en-CA"/>
          </w:rPr>
          <m:t>ϕ</m:t>
        </m:r>
      </m:oMath>
      <w:r w:rsidR="00544EB6">
        <w:rPr>
          <w:rFonts w:eastAsiaTheme="minorEastAsia"/>
          <w:lang w:val="en-CA"/>
        </w:rPr>
        <w:t xml:space="preserve"> (Equation 1). </w:t>
      </w:r>
      <w:r w:rsidR="006418B5">
        <w:rPr>
          <w:rFonts w:eastAsiaTheme="minorEastAsia"/>
          <w:lang w:val="en-CA"/>
        </w:rPr>
        <w:t xml:space="preserve">We used negative binomial distributions for the GLM (and the binmix and multimix models) because our posterior predictive checks indicated that this overcame a strong lack of fit when using a Poisson distribution (supplement). </w:t>
      </w:r>
      <w:r w:rsidR="00544EB6">
        <w:rPr>
          <w:rFonts w:eastAsiaTheme="minorEastAsia"/>
          <w:lang w:val="en-CA"/>
        </w:rPr>
        <w:t>We described v</w:t>
      </w:r>
      <w:r>
        <w:rPr>
          <w:rFonts w:eastAsiaTheme="minorEastAsia"/>
          <w:lang w:val="en-CA"/>
        </w:rPr>
        <w:t>ariation</w:t>
      </w:r>
      <w:r w:rsidR="006418B5">
        <w:rPr>
          <w:rFonts w:eastAsiaTheme="minorEastAsia"/>
          <w:lang w:val="en-CA"/>
        </w:rPr>
        <w:t xml:space="preserve"> in</w:t>
      </w:r>
      <w:r>
        <w:rPr>
          <w:rFonts w:eastAsiaTheme="minorEastAsia"/>
          <w:lang w:val="en-CA"/>
        </w:rPr>
        <w:t xml:space="preserve">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544EB6">
        <w:rPr>
          <w:rFonts w:eastAsiaTheme="minorEastAsia"/>
          <w:lang w:val="en-CA"/>
        </w:rPr>
        <w:t xml:space="preserve"> using a log-link function (Equation </w:t>
      </w:r>
      <w:r w:rsidR="006418B5">
        <w:rPr>
          <w:rFonts w:eastAsiaTheme="minorEastAsia"/>
          <w:lang w:val="en-CA"/>
        </w:rPr>
        <w:t>2</w:t>
      </w:r>
      <w:r w:rsidR="00544EB6">
        <w:rPr>
          <w:rFonts w:eastAsiaTheme="minorEastAsia"/>
          <w:lang w:val="en-CA"/>
        </w:rPr>
        <w:t>), including a global abundance intercept (</w:t>
      </w:r>
      <m:oMath>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α</m:t>
            </m:r>
          </m:e>
          <m:sub>
            <m:r>
              <w:rPr>
                <w:rFonts w:ascii="Cambria Math" w:eastAsiaTheme="minorEastAsia" w:hAnsi="Cambria Math" w:cs="Times New Roman"/>
                <w:sz w:val="24"/>
                <w:szCs w:val="24"/>
                <w:lang w:val="en-CA"/>
              </w:rPr>
              <m:t>0</m:t>
            </m:r>
          </m:sub>
        </m:sSub>
      </m:oMath>
      <w:r w:rsidR="00544EB6">
        <w:rPr>
          <w:rFonts w:eastAsiaTheme="minorEastAsia"/>
          <w:lang w:val="en-CA"/>
        </w:rPr>
        <w:t>), a species-specific random intercept effect (</w:t>
      </w:r>
      <m:oMath>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α</m:t>
            </m:r>
          </m:e>
          <m:sub>
            <m:r>
              <w:rPr>
                <w:rFonts w:ascii="Cambria Math" w:eastAsiaTheme="minorEastAsia" w:hAnsi="Cambria Math" w:cs="Times New Roman"/>
                <w:sz w:val="24"/>
                <w:szCs w:val="24"/>
                <w:lang w:val="en-CA"/>
              </w:rPr>
              <m:t>1</m:t>
            </m:r>
          </m:sub>
        </m:sSub>
      </m:oMath>
      <w:r w:rsidR="00544EB6">
        <w:rPr>
          <w:rFonts w:eastAsiaTheme="minorEastAsia"/>
          <w:lang w:val="en-CA"/>
        </w:rPr>
        <w:t>), a site-specific random intercept effect (</w:t>
      </w:r>
      <m:oMath>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α</m:t>
            </m:r>
          </m:e>
          <m:sub>
            <m:r>
              <w:rPr>
                <w:rFonts w:ascii="Cambria Math" w:eastAsiaTheme="minorEastAsia" w:hAnsi="Cambria Math" w:cs="Times New Roman"/>
                <w:sz w:val="24"/>
                <w:szCs w:val="24"/>
                <w:lang w:val="en-CA"/>
              </w:rPr>
              <m:t>2</m:t>
            </m:r>
          </m:sub>
        </m:sSub>
      </m:oMath>
      <w:r w:rsidR="00544EB6">
        <w:rPr>
          <w:rFonts w:eastAsiaTheme="minorEastAsia"/>
          <w:lang w:val="en-CA"/>
        </w:rPr>
        <w:t>), an effect of year (</w:t>
      </w:r>
      <m:oMath>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α</m:t>
            </m:r>
          </m:e>
          <m:sub>
            <m:r>
              <w:rPr>
                <w:rFonts w:ascii="Cambria Math" w:eastAsiaTheme="minorEastAsia" w:hAnsi="Cambria Math" w:cs="Times New Roman"/>
                <w:sz w:val="24"/>
                <w:szCs w:val="24"/>
                <w:lang w:val="en-CA"/>
              </w:rPr>
              <m:t>3</m:t>
            </m:r>
          </m:sub>
        </m:sSub>
      </m:oMath>
      <w:r w:rsidR="00544EB6">
        <w:rPr>
          <w:rFonts w:eastAsiaTheme="minorEastAsia"/>
          <w:lang w:val="en-CA"/>
        </w:rPr>
        <w:t>), and a species-specific random effect of restoration (</w:t>
      </w:r>
      <m:oMath>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α</m:t>
            </m:r>
          </m:e>
          <m:sub>
            <m:r>
              <w:rPr>
                <w:rFonts w:ascii="Cambria Math" w:eastAsiaTheme="minorEastAsia" w:hAnsi="Cambria Math" w:cs="Times New Roman"/>
                <w:sz w:val="24"/>
                <w:szCs w:val="24"/>
                <w:lang w:val="en-CA"/>
              </w:rPr>
              <m:t>4</m:t>
            </m:r>
          </m:sub>
        </m:sSub>
      </m:oMath>
      <w:r w:rsidR="00544EB6">
        <w:rPr>
          <w:rFonts w:eastAsiaTheme="minorEastAsia"/>
          <w:lang w:val="en-CA"/>
        </w:rPr>
        <w:t xml:space="preserve">), with restoration treated as a categorical variable. </w:t>
      </w:r>
    </w:p>
    <w:p w14:paraId="6219F54E" w14:textId="019D8F0B" w:rsidR="00D71B30" w:rsidRPr="00544EB6" w:rsidRDefault="00000000" w:rsidP="00D71B30">
      <w:pPr>
        <w:pStyle w:val="ListParagraph"/>
        <w:numPr>
          <w:ilvl w:val="0"/>
          <w:numId w:val="1"/>
        </w:numPr>
        <w:spacing w:line="480" w:lineRule="auto"/>
        <w:rPr>
          <w:rFonts w:cs="Times New Roman"/>
          <w:sz w:val="24"/>
          <w:szCs w:val="24"/>
          <w:lang w:val="en-CA"/>
        </w:rPr>
      </w:pPr>
      <m:oMath>
        <m:sSub>
          <m:sSubPr>
            <m:ctrlPr>
              <w:rPr>
                <w:rFonts w:ascii="Cambria Math" w:hAnsi="Cambria Math" w:cs="Times New Roman"/>
                <w:i/>
                <w:sz w:val="24"/>
                <w:szCs w:val="24"/>
                <w:lang w:val="en-CA"/>
              </w:rPr>
            </m:ctrlPr>
          </m:sSubPr>
          <m:e>
            <m:r>
              <w:rPr>
                <w:rFonts w:ascii="Cambria Math" w:hAnsi="Cambria Math" w:cs="Times New Roman"/>
                <w:sz w:val="24"/>
                <w:szCs w:val="24"/>
                <w:lang w:val="en-CA"/>
              </w:rPr>
              <m:t>y</m:t>
            </m:r>
          </m:e>
          <m:sub>
            <m:r>
              <w:rPr>
                <w:rFonts w:ascii="Cambria Math" w:hAnsi="Cambria Math" w:cs="Times New Roman"/>
                <w:sz w:val="24"/>
                <w:szCs w:val="24"/>
                <w:lang w:val="en-CA"/>
              </w:rPr>
              <m:t>i</m:t>
            </m:r>
          </m:sub>
        </m:sSub>
        <m:r>
          <w:rPr>
            <w:rFonts w:ascii="Cambria Math" w:hAnsi="Cambria Math" w:cs="Times New Roman"/>
            <w:sz w:val="24"/>
            <w:szCs w:val="24"/>
            <w:lang w:val="en-CA"/>
          </w:rPr>
          <m:t xml:space="preserve"> ~ negative binomial(</m:t>
        </m:r>
        <m:sSub>
          <m:sSubPr>
            <m:ctrlPr>
              <w:rPr>
                <w:rFonts w:ascii="Cambria Math" w:hAnsi="Cambria Math" w:cs="Times New Roman"/>
                <w:i/>
                <w:sz w:val="24"/>
                <w:szCs w:val="24"/>
                <w:lang w:val="en-CA"/>
              </w:rPr>
            </m:ctrlPr>
          </m:sSubPr>
          <m:e>
            <m:r>
              <w:rPr>
                <w:rFonts w:ascii="Cambria Math" w:hAnsi="Cambria Math" w:cs="Times New Roman"/>
                <w:sz w:val="24"/>
                <w:szCs w:val="24"/>
                <w:lang w:val="en-CA"/>
              </w:rPr>
              <m:t>λ</m:t>
            </m:r>
          </m:e>
          <m:sub>
            <m:r>
              <w:rPr>
                <w:rFonts w:ascii="Cambria Math" w:hAnsi="Cambria Math" w:cs="Times New Roman"/>
                <w:sz w:val="24"/>
                <w:szCs w:val="24"/>
                <w:lang w:val="en-CA"/>
              </w:rPr>
              <m:t>i</m:t>
            </m:r>
          </m:sub>
        </m:sSub>
        <m:r>
          <w:rPr>
            <w:rFonts w:ascii="Cambria Math" w:hAnsi="Cambria Math" w:cs="Times New Roman"/>
            <w:sz w:val="24"/>
            <w:szCs w:val="24"/>
            <w:lang w:val="en-CA"/>
          </w:rPr>
          <m:t xml:space="preserve">, </m:t>
        </m:r>
        <m:r>
          <w:rPr>
            <w:rFonts w:ascii="Cambria Math" w:eastAsiaTheme="minorEastAsia" w:hAnsi="Cambria Math" w:cs="Times New Roman"/>
            <w:sz w:val="24"/>
            <w:szCs w:val="24"/>
            <w:lang w:val="en-CA"/>
          </w:rPr>
          <m:t>ϕ</m:t>
        </m:r>
        <m:r>
          <w:rPr>
            <w:rFonts w:ascii="Cambria Math" w:hAnsi="Cambria Math" w:cs="Times New Roman"/>
            <w:sz w:val="24"/>
            <w:szCs w:val="24"/>
            <w:lang w:val="en-CA"/>
          </w:rPr>
          <m:t>)</m:t>
        </m:r>
      </m:oMath>
      <w:r w:rsidR="00544EB6" w:rsidRPr="00544EB6">
        <w:rPr>
          <w:rFonts w:eastAsiaTheme="minorEastAsia" w:cs="Times New Roman"/>
          <w:sz w:val="24"/>
          <w:szCs w:val="24"/>
          <w:lang w:val="en-CA"/>
        </w:rPr>
        <w:t>;</w:t>
      </w:r>
    </w:p>
    <w:p w14:paraId="0FEF90E1" w14:textId="5064DECF" w:rsidR="00544EB6" w:rsidRPr="00544EB6" w:rsidRDefault="00392543" w:rsidP="00D71B30">
      <w:pPr>
        <w:pStyle w:val="ListParagraph"/>
        <w:numPr>
          <w:ilvl w:val="0"/>
          <w:numId w:val="1"/>
        </w:numPr>
        <w:spacing w:line="480" w:lineRule="auto"/>
        <w:rPr>
          <w:rFonts w:cs="Times New Roman"/>
          <w:sz w:val="24"/>
          <w:szCs w:val="24"/>
          <w:lang w:val="en-CA"/>
        </w:rPr>
      </w:pPr>
      <m:oMath>
        <m:r>
          <w:rPr>
            <w:rFonts w:ascii="Cambria Math" w:eastAsiaTheme="minorEastAsia" w:hAnsi="Cambria Math" w:cs="Times New Roman"/>
            <w:sz w:val="24"/>
            <w:szCs w:val="24"/>
            <w:lang w:val="en-CA"/>
          </w:rPr>
          <m:t>log(</m:t>
        </m:r>
        <m:sSub>
          <m:sSubPr>
            <m:ctrlPr>
              <w:rPr>
                <w:rFonts w:ascii="Cambria Math" w:hAnsi="Cambria Math" w:cs="Times New Roman"/>
                <w:i/>
                <w:sz w:val="24"/>
                <w:szCs w:val="24"/>
                <w:lang w:val="en-CA"/>
              </w:rPr>
            </m:ctrlPr>
          </m:sSubPr>
          <m:e>
            <m:r>
              <w:rPr>
                <w:rFonts w:ascii="Cambria Math" w:hAnsi="Cambria Math" w:cs="Times New Roman"/>
                <w:sz w:val="24"/>
                <w:szCs w:val="24"/>
                <w:lang w:val="en-CA"/>
              </w:rPr>
              <m:t>λ</m:t>
            </m:r>
          </m:e>
          <m:sub>
            <m:r>
              <w:rPr>
                <w:rFonts w:ascii="Cambria Math" w:hAnsi="Cambria Math" w:cs="Times New Roman"/>
                <w:sz w:val="24"/>
                <w:szCs w:val="24"/>
                <w:lang w:val="en-CA"/>
              </w:rPr>
              <m:t>i</m:t>
            </m:r>
          </m:sub>
        </m:sSub>
        <m:r>
          <w:rPr>
            <w:rFonts w:ascii="Cambria Math" w:eastAsiaTheme="minorEastAsia" w:hAnsi="Cambria Math" w:cs="Times New Roman"/>
            <w:sz w:val="24"/>
            <w:szCs w:val="24"/>
            <w:lang w:val="en-CA"/>
          </w:rPr>
          <m:t xml:space="preserve">)= </m:t>
        </m:r>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α</m:t>
            </m:r>
          </m:e>
          <m:sub>
            <m:r>
              <w:rPr>
                <w:rFonts w:ascii="Cambria Math" w:eastAsiaTheme="minorEastAsia" w:hAnsi="Cambria Math" w:cs="Times New Roman"/>
                <w:sz w:val="24"/>
                <w:szCs w:val="24"/>
                <w:lang w:val="en-CA"/>
              </w:rPr>
              <m:t>0</m:t>
            </m:r>
          </m:sub>
        </m:sSub>
        <m:r>
          <w:rPr>
            <w:rFonts w:ascii="Cambria Math" w:eastAsiaTheme="minorEastAsia" w:hAnsi="Cambria Math" w:cs="Times New Roman"/>
            <w:sz w:val="24"/>
            <w:szCs w:val="24"/>
            <w:lang w:val="en-CA"/>
          </w:rPr>
          <m:t xml:space="preserve">+ </m:t>
        </m:r>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α</m:t>
            </m:r>
          </m:e>
          <m:sub>
            <m:r>
              <w:rPr>
                <w:rFonts w:ascii="Cambria Math" w:eastAsiaTheme="minorEastAsia" w:hAnsi="Cambria Math" w:cs="Times New Roman"/>
                <w:sz w:val="24"/>
                <w:szCs w:val="24"/>
                <w:lang w:val="en-CA"/>
              </w:rPr>
              <m:t>1</m:t>
            </m:r>
          </m:sub>
        </m:sSub>
        <m:d>
          <m:dPr>
            <m:begChr m:val="["/>
            <m:endChr m:val="]"/>
            <m:ctrlPr>
              <w:rPr>
                <w:rFonts w:ascii="Cambria Math" w:eastAsiaTheme="minorEastAsia" w:hAnsi="Cambria Math" w:cs="Times New Roman"/>
                <w:i/>
                <w:sz w:val="24"/>
                <w:szCs w:val="24"/>
                <w:lang w:val="en-CA"/>
              </w:rPr>
            </m:ctrlPr>
          </m:dPr>
          <m:e>
            <m:r>
              <w:rPr>
                <w:rFonts w:ascii="Cambria Math" w:eastAsiaTheme="minorEastAsia" w:hAnsi="Cambria Math" w:cs="Times New Roman"/>
                <w:sz w:val="24"/>
                <w:szCs w:val="24"/>
                <w:lang w:val="en-CA"/>
              </w:rPr>
              <m:t>species</m:t>
            </m:r>
          </m:e>
        </m:d>
        <m:r>
          <w:rPr>
            <w:rFonts w:ascii="Cambria Math" w:eastAsiaTheme="minorEastAsia" w:hAnsi="Cambria Math" w:cs="Times New Roman"/>
            <w:sz w:val="24"/>
            <w:szCs w:val="24"/>
            <w:lang w:val="en-CA"/>
          </w:rPr>
          <m:t>+</m:t>
        </m:r>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α</m:t>
            </m:r>
          </m:e>
          <m:sub>
            <m:r>
              <w:rPr>
                <w:rFonts w:ascii="Cambria Math" w:eastAsiaTheme="minorEastAsia" w:hAnsi="Cambria Math" w:cs="Times New Roman"/>
                <w:sz w:val="24"/>
                <w:szCs w:val="24"/>
                <w:lang w:val="en-CA"/>
              </w:rPr>
              <m:t>2</m:t>
            </m:r>
          </m:sub>
        </m:sSub>
        <m:d>
          <m:dPr>
            <m:begChr m:val="["/>
            <m:endChr m:val="]"/>
            <m:ctrlPr>
              <w:rPr>
                <w:rFonts w:ascii="Cambria Math" w:eastAsiaTheme="minorEastAsia" w:hAnsi="Cambria Math" w:cs="Times New Roman"/>
                <w:i/>
                <w:sz w:val="24"/>
                <w:szCs w:val="24"/>
                <w:lang w:val="en-CA"/>
              </w:rPr>
            </m:ctrlPr>
          </m:dPr>
          <m:e>
            <m:r>
              <w:rPr>
                <w:rFonts w:ascii="Cambria Math" w:eastAsiaTheme="minorEastAsia" w:hAnsi="Cambria Math" w:cs="Times New Roman"/>
                <w:sz w:val="24"/>
                <w:szCs w:val="24"/>
                <w:lang w:val="en-CA"/>
              </w:rPr>
              <m:t>site</m:t>
            </m:r>
          </m:e>
        </m:d>
        <m:r>
          <w:rPr>
            <w:rFonts w:ascii="Cambria Math" w:eastAsiaTheme="minorEastAsia" w:hAnsi="Cambria Math" w:cs="Times New Roman"/>
            <w:sz w:val="24"/>
            <w:szCs w:val="24"/>
            <w:lang w:val="en-CA"/>
          </w:rPr>
          <m:t xml:space="preserve">+ </m:t>
        </m:r>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α</m:t>
            </m:r>
          </m:e>
          <m:sub>
            <m:r>
              <w:rPr>
                <w:rFonts w:ascii="Cambria Math" w:eastAsiaTheme="minorEastAsia" w:hAnsi="Cambria Math" w:cs="Times New Roman"/>
                <w:sz w:val="24"/>
                <w:szCs w:val="24"/>
                <w:lang w:val="en-CA"/>
              </w:rPr>
              <m:t>3</m:t>
            </m:r>
          </m:sub>
        </m:sSub>
        <m:d>
          <m:dPr>
            <m:begChr m:val="["/>
            <m:endChr m:val="]"/>
            <m:ctrlPr>
              <w:rPr>
                <w:rFonts w:ascii="Cambria Math" w:eastAsiaTheme="minorEastAsia" w:hAnsi="Cambria Math" w:cs="Times New Roman"/>
                <w:i/>
                <w:sz w:val="24"/>
                <w:szCs w:val="24"/>
                <w:lang w:val="en-CA"/>
              </w:rPr>
            </m:ctrlPr>
          </m:dPr>
          <m:e>
            <m:r>
              <w:rPr>
                <w:rFonts w:ascii="Cambria Math" w:eastAsiaTheme="minorEastAsia" w:hAnsi="Cambria Math" w:cs="Times New Roman"/>
                <w:sz w:val="24"/>
                <w:szCs w:val="24"/>
                <w:lang w:val="en-CA"/>
              </w:rPr>
              <m:t>year</m:t>
            </m:r>
          </m:e>
        </m:d>
        <m:r>
          <w:rPr>
            <w:rFonts w:ascii="Cambria Math" w:eastAsiaTheme="minorEastAsia" w:hAnsi="Cambria Math" w:cs="Times New Roman"/>
            <w:sz w:val="24"/>
            <w:szCs w:val="24"/>
            <w:lang w:val="en-CA"/>
          </w:rPr>
          <m:t xml:space="preserve">+ </m:t>
        </m:r>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α</m:t>
            </m:r>
          </m:e>
          <m:sub>
            <m:r>
              <w:rPr>
                <w:rFonts w:ascii="Cambria Math" w:eastAsiaTheme="minorEastAsia" w:hAnsi="Cambria Math" w:cs="Times New Roman"/>
                <w:sz w:val="24"/>
                <w:szCs w:val="24"/>
                <w:lang w:val="en-CA"/>
              </w:rPr>
              <m:t>4</m:t>
            </m:r>
          </m:sub>
        </m:sSub>
        <m:d>
          <m:dPr>
            <m:begChr m:val="["/>
            <m:endChr m:val="]"/>
            <m:ctrlPr>
              <w:rPr>
                <w:rFonts w:ascii="Cambria Math" w:eastAsiaTheme="minorEastAsia" w:hAnsi="Cambria Math" w:cs="Times New Roman"/>
                <w:i/>
                <w:sz w:val="24"/>
                <w:szCs w:val="24"/>
                <w:lang w:val="en-CA"/>
              </w:rPr>
            </m:ctrlPr>
          </m:dPr>
          <m:e>
            <m:r>
              <w:rPr>
                <w:rFonts w:ascii="Cambria Math" w:eastAsiaTheme="minorEastAsia" w:hAnsi="Cambria Math" w:cs="Times New Roman"/>
                <w:sz w:val="24"/>
                <w:szCs w:val="24"/>
                <w:lang w:val="en-CA"/>
              </w:rPr>
              <m:t>species</m:t>
            </m:r>
          </m:e>
        </m:d>
        <m:r>
          <w:rPr>
            <w:rFonts w:ascii="Cambria Math" w:eastAsiaTheme="minorEastAsia" w:hAnsi="Cambria Math" w:cs="Times New Roman"/>
            <w:sz w:val="24"/>
            <w:szCs w:val="24"/>
            <w:lang w:val="en-CA"/>
          </w:rPr>
          <m:t xml:space="preserve"> ×restoration[i] </m:t>
        </m:r>
      </m:oMath>
    </w:p>
    <w:p w14:paraId="75EFE41E" w14:textId="75DD0780" w:rsidR="00E758D4" w:rsidRDefault="00544EB6" w:rsidP="00E758D4">
      <w:pPr>
        <w:spacing w:line="480" w:lineRule="auto"/>
        <w:ind w:firstLine="720"/>
        <w:rPr>
          <w:lang w:val="en-CA"/>
        </w:rPr>
      </w:pPr>
      <w:r>
        <w:rPr>
          <w:lang w:val="en-CA"/>
        </w:rPr>
        <w:t xml:space="preserve">For the binmix model, we specified </w:t>
      </w:r>
      <w:r w:rsidR="00E758D4">
        <w:rPr>
          <w:lang w:val="en-CA"/>
        </w:rPr>
        <w:t xml:space="preserve">true abundance as a latent variable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E758D4">
        <w:rPr>
          <w:rFonts w:eastAsiaTheme="minorEastAsia"/>
          <w:lang w:val="en-CA"/>
        </w:rPr>
        <w:t>, which we considered to be</w:t>
      </w:r>
      <w:r w:rsidR="00E758D4">
        <w:rPr>
          <w:lang w:val="en-CA"/>
        </w:rPr>
        <w:t xml:space="preserve"> the outcome of a negative binomial distribution with a mean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E758D4">
        <w:rPr>
          <w:rFonts w:eastAsiaTheme="minorEastAsia"/>
          <w:lang w:val="en-CA"/>
        </w:rPr>
        <w:t xml:space="preserve"> and dispersion </w:t>
      </w:r>
      <m:oMath>
        <m:r>
          <w:rPr>
            <w:rFonts w:ascii="Cambria Math" w:eastAsiaTheme="minorEastAsia" w:hAnsi="Cambria Math"/>
            <w:lang w:val="en-CA"/>
          </w:rPr>
          <m:t>ϕ</m:t>
        </m:r>
      </m:oMath>
      <w:r w:rsidR="00E758D4">
        <w:rPr>
          <w:rFonts w:eastAsiaTheme="minorEastAsia"/>
          <w:lang w:val="en-CA"/>
        </w:rPr>
        <w:t xml:space="preserve"> (Equation 3).</w:t>
      </w:r>
      <w:r w:rsidR="00E758D4">
        <w:rPr>
          <w:lang w:val="en-CA"/>
        </w:rPr>
        <w:t xml:space="preserve"> C</w:t>
      </w:r>
      <w:r>
        <w:rPr>
          <w:lang w:val="en-CA"/>
        </w:rPr>
        <w:t xml:space="preserve">ounts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Pr>
          <w:lang w:val="en-CA"/>
        </w:rPr>
        <w:t xml:space="preserve"> on repeat survey </w:t>
      </w:r>
      <m:oMath>
        <m:r>
          <w:rPr>
            <w:rFonts w:ascii="Cambria Math" w:hAnsi="Cambria Math"/>
            <w:lang w:val="en-CA"/>
          </w:rPr>
          <m:t>j</m:t>
        </m:r>
      </m:oMath>
      <w:r>
        <w:rPr>
          <w:lang w:val="en-CA"/>
        </w:rPr>
        <w:t xml:space="preserve"> </w:t>
      </w:r>
      <w:r w:rsidR="00E758D4">
        <w:rPr>
          <w:lang w:val="en-CA"/>
        </w:rPr>
        <w:t>were specified as</w:t>
      </w:r>
      <w:r>
        <w:rPr>
          <w:lang w:val="en-CA"/>
        </w:rPr>
        <w:t xml:space="preserve"> the outcome of a binomial trial with size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Pr>
          <w:i/>
          <w:iCs/>
          <w:lang w:val="en-CA"/>
        </w:rPr>
        <w:t xml:space="preserve"> </w:t>
      </w:r>
      <w:r>
        <w:rPr>
          <w:lang w:val="en-CA"/>
        </w:rPr>
        <w:t xml:space="preserve">and detection rate </w:t>
      </w:r>
      <m:oMath>
        <m:sSub>
          <m:sSubPr>
            <m:ctrlPr>
              <w:rPr>
                <w:rFonts w:ascii="Cambria Math" w:hAnsi="Cambria Math"/>
                <w:i/>
                <w:lang w:val="en-CA"/>
              </w:rPr>
            </m:ctrlPr>
          </m:sSubPr>
          <m:e>
            <m:r>
              <w:rPr>
                <w:rFonts w:ascii="Cambria Math" w:hAnsi="Cambria Math"/>
                <w:lang w:val="en-CA"/>
              </w:rPr>
              <m:t>p</m:t>
            </m:r>
          </m:e>
          <m:sub>
            <m:r>
              <w:rPr>
                <w:rFonts w:ascii="Cambria Math" w:hAnsi="Cambria Math"/>
                <w:lang w:val="en-CA"/>
              </w:rPr>
              <m:t>i</m:t>
            </m:r>
          </m:sub>
        </m:sSub>
      </m:oMath>
      <w:r w:rsidR="00E758D4">
        <w:rPr>
          <w:lang w:val="en-CA"/>
        </w:rPr>
        <w:t xml:space="preserve">. </w:t>
      </w:r>
      <w:r w:rsidR="006418B5">
        <w:rPr>
          <w:lang w:val="en-CA"/>
        </w:rPr>
        <w:t xml:space="preserve">With this formulation, effects of predictors on abundance versus detection can be differentiated. We described </w:t>
      </w:r>
      <w:r w:rsidR="006418B5">
        <w:rPr>
          <w:rFonts w:eastAsiaTheme="minorEastAsia"/>
          <w:lang w:val="en-CA"/>
        </w:rPr>
        <w:t xml:space="preserve">variation in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6418B5">
        <w:rPr>
          <w:rFonts w:eastAsiaTheme="minorEastAsia"/>
          <w:lang w:val="en-CA"/>
        </w:rPr>
        <w:t xml:space="preserve"> as in Equation 2</w:t>
      </w:r>
      <w:r w:rsidR="00E758D4">
        <w:rPr>
          <w:lang w:val="en-CA"/>
        </w:rPr>
        <w:t xml:space="preserve">. </w:t>
      </w:r>
      <w:r w:rsidR="006418B5">
        <w:rPr>
          <w:rFonts w:eastAsiaTheme="minorEastAsia"/>
          <w:lang w:val="en-CA"/>
        </w:rPr>
        <w:t xml:space="preserve">We described variation in </w:t>
      </w:r>
      <m:oMath>
        <m:sSub>
          <m:sSubPr>
            <m:ctrlPr>
              <w:rPr>
                <w:rFonts w:ascii="Cambria Math" w:hAnsi="Cambria Math"/>
                <w:i/>
                <w:lang w:val="en-CA"/>
              </w:rPr>
            </m:ctrlPr>
          </m:sSubPr>
          <m:e>
            <m:r>
              <w:rPr>
                <w:rFonts w:ascii="Cambria Math" w:hAnsi="Cambria Math"/>
                <w:lang w:val="en-CA"/>
              </w:rPr>
              <m:t>p</m:t>
            </m:r>
          </m:e>
          <m:sub>
            <m:r>
              <w:rPr>
                <w:rFonts w:ascii="Cambria Math" w:hAnsi="Cambria Math"/>
                <w:lang w:val="en-CA"/>
              </w:rPr>
              <m:t>i</m:t>
            </m:r>
          </m:sub>
        </m:sSub>
      </m:oMath>
      <w:r w:rsidR="006418B5">
        <w:rPr>
          <w:rFonts w:eastAsiaTheme="minorEastAsia"/>
          <w:lang w:val="en-CA"/>
        </w:rPr>
        <w:t xml:space="preserve"> u</w:t>
      </w:r>
      <w:r w:rsidR="00E758D4">
        <w:rPr>
          <w:lang w:val="en-CA"/>
        </w:rPr>
        <w:t>sing a logit-link function (bounding the outcome to a probability range of 0 to 1)</w:t>
      </w:r>
      <w:r w:rsidR="006418B5">
        <w:rPr>
          <w:lang w:val="en-CA"/>
        </w:rPr>
        <w:t xml:space="preserve"> (Equation 5). We</w:t>
      </w:r>
      <w:r w:rsidR="00E758D4">
        <w:rPr>
          <w:lang w:val="en-CA"/>
        </w:rPr>
        <w:t xml:space="preserve"> </w:t>
      </w:r>
      <w:r w:rsidR="00E758D4">
        <w:rPr>
          <w:rFonts w:eastAsiaTheme="minorEastAsia"/>
          <w:lang w:val="en-CA"/>
        </w:rPr>
        <w:t xml:space="preserve">included a global </w:t>
      </w:r>
      <w:r w:rsidR="006418B5">
        <w:rPr>
          <w:rFonts w:eastAsiaTheme="minorEastAsia"/>
          <w:lang w:val="en-CA"/>
        </w:rPr>
        <w:t>detection</w:t>
      </w:r>
      <w:r w:rsidR="00E758D4">
        <w:rPr>
          <w:rFonts w:eastAsiaTheme="minorEastAsia"/>
          <w:lang w:val="en-CA"/>
        </w:rPr>
        <w:t xml:space="preserve"> intercept (</w:t>
      </w:r>
      <m:oMath>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β</m:t>
            </m:r>
          </m:e>
          <m:sub>
            <m:r>
              <w:rPr>
                <w:rFonts w:ascii="Cambria Math" w:eastAsiaTheme="minorEastAsia" w:hAnsi="Cambria Math" w:cs="Times New Roman"/>
                <w:sz w:val="24"/>
                <w:szCs w:val="24"/>
                <w:lang w:val="en-CA"/>
              </w:rPr>
              <m:t>0</m:t>
            </m:r>
          </m:sub>
        </m:sSub>
      </m:oMath>
      <w:r w:rsidR="00E758D4">
        <w:rPr>
          <w:rFonts w:eastAsiaTheme="minorEastAsia"/>
          <w:lang w:val="en-CA"/>
        </w:rPr>
        <w:t>), a species-specific random intercept effect (</w:t>
      </w:r>
      <m:oMath>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β</m:t>
            </m:r>
          </m:e>
          <m:sub>
            <m:r>
              <w:rPr>
                <w:rFonts w:ascii="Cambria Math" w:eastAsiaTheme="minorEastAsia" w:hAnsi="Cambria Math" w:cs="Times New Roman"/>
                <w:sz w:val="24"/>
                <w:szCs w:val="24"/>
                <w:lang w:val="en-CA"/>
              </w:rPr>
              <m:t>1</m:t>
            </m:r>
          </m:sub>
        </m:sSub>
      </m:oMath>
      <w:r w:rsidR="00E758D4">
        <w:rPr>
          <w:rFonts w:eastAsiaTheme="minorEastAsia"/>
          <w:lang w:val="en-CA"/>
        </w:rPr>
        <w:t>), a site-specific random intercept effect (</w:t>
      </w:r>
      <m:oMath>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β</m:t>
            </m:r>
          </m:e>
          <m:sub>
            <m:r>
              <w:rPr>
                <w:rFonts w:ascii="Cambria Math" w:eastAsiaTheme="minorEastAsia" w:hAnsi="Cambria Math" w:cs="Times New Roman"/>
                <w:sz w:val="24"/>
                <w:szCs w:val="24"/>
                <w:lang w:val="en-CA"/>
              </w:rPr>
              <m:t>2</m:t>
            </m:r>
          </m:sub>
        </m:sSub>
      </m:oMath>
      <w:r w:rsidR="00E758D4">
        <w:rPr>
          <w:rFonts w:eastAsiaTheme="minorEastAsia"/>
          <w:lang w:val="en-CA"/>
        </w:rPr>
        <w:t>), and a species-specific random effect of restoration (</w:t>
      </w:r>
      <m:oMath>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β</m:t>
            </m:r>
          </m:e>
          <m:sub>
            <m:r>
              <w:rPr>
                <w:rFonts w:ascii="Cambria Math" w:eastAsiaTheme="minorEastAsia" w:hAnsi="Cambria Math" w:cs="Times New Roman"/>
                <w:sz w:val="24"/>
                <w:szCs w:val="24"/>
                <w:lang w:val="en-CA"/>
              </w:rPr>
              <m:t>3</m:t>
            </m:r>
          </m:sub>
        </m:sSub>
      </m:oMath>
      <w:r w:rsidR="00E758D4">
        <w:rPr>
          <w:rFonts w:eastAsiaTheme="minorEastAsia"/>
          <w:lang w:val="en-CA"/>
        </w:rPr>
        <w:t>),</w:t>
      </w:r>
    </w:p>
    <w:p w14:paraId="2F5F9110" w14:textId="2AB04AC3" w:rsidR="00E758D4" w:rsidRPr="006418B5" w:rsidRDefault="00000000" w:rsidP="00E758D4">
      <w:pPr>
        <w:pStyle w:val="ListParagraph"/>
        <w:numPr>
          <w:ilvl w:val="0"/>
          <w:numId w:val="1"/>
        </w:numPr>
        <w:spacing w:line="480" w:lineRule="auto"/>
        <w:rPr>
          <w:rFonts w:cs="Times New Roman"/>
          <w:sz w:val="24"/>
          <w:szCs w:val="24"/>
          <w:lang w:val="en-CA"/>
        </w:rPr>
      </w:pPr>
      <m:oMath>
        <m:sSub>
          <m:sSubPr>
            <m:ctrlPr>
              <w:rPr>
                <w:rFonts w:ascii="Cambria Math" w:hAnsi="Cambria Math" w:cs="Times New Roman"/>
                <w:i/>
                <w:sz w:val="24"/>
                <w:szCs w:val="24"/>
                <w:lang w:val="en-CA"/>
              </w:rPr>
            </m:ctrlPr>
          </m:sSubPr>
          <m:e>
            <m:r>
              <w:rPr>
                <w:rFonts w:ascii="Cambria Math" w:hAnsi="Cambria Math" w:cs="Times New Roman"/>
                <w:sz w:val="24"/>
                <w:szCs w:val="24"/>
                <w:lang w:val="en-CA"/>
              </w:rPr>
              <m:t>N</m:t>
            </m:r>
          </m:e>
          <m:sub>
            <m:r>
              <w:rPr>
                <w:rFonts w:ascii="Cambria Math" w:hAnsi="Cambria Math" w:cs="Times New Roman"/>
                <w:sz w:val="24"/>
                <w:szCs w:val="24"/>
                <w:lang w:val="en-CA"/>
              </w:rPr>
              <m:t>i</m:t>
            </m:r>
          </m:sub>
        </m:sSub>
        <m:r>
          <w:rPr>
            <w:rFonts w:ascii="Cambria Math" w:hAnsi="Cambria Math" w:cs="Times New Roman"/>
            <w:sz w:val="24"/>
            <w:szCs w:val="24"/>
            <w:lang w:val="en-CA"/>
          </w:rPr>
          <m:t xml:space="preserve"> ~ negative binomial(</m:t>
        </m:r>
        <m:sSub>
          <m:sSubPr>
            <m:ctrlPr>
              <w:rPr>
                <w:rFonts w:ascii="Cambria Math" w:hAnsi="Cambria Math" w:cs="Times New Roman"/>
                <w:i/>
                <w:sz w:val="24"/>
                <w:szCs w:val="24"/>
                <w:lang w:val="en-CA"/>
              </w:rPr>
            </m:ctrlPr>
          </m:sSubPr>
          <m:e>
            <m:r>
              <w:rPr>
                <w:rFonts w:ascii="Cambria Math" w:hAnsi="Cambria Math" w:cs="Times New Roman"/>
                <w:sz w:val="24"/>
                <w:szCs w:val="24"/>
                <w:lang w:val="en-CA"/>
              </w:rPr>
              <m:t>λ</m:t>
            </m:r>
          </m:e>
          <m:sub>
            <m:r>
              <w:rPr>
                <w:rFonts w:ascii="Cambria Math" w:hAnsi="Cambria Math" w:cs="Times New Roman"/>
                <w:sz w:val="24"/>
                <w:szCs w:val="24"/>
                <w:lang w:val="en-CA"/>
              </w:rPr>
              <m:t>i</m:t>
            </m:r>
          </m:sub>
        </m:sSub>
        <m:r>
          <w:rPr>
            <w:rFonts w:ascii="Cambria Math" w:hAnsi="Cambria Math" w:cs="Times New Roman"/>
            <w:sz w:val="24"/>
            <w:szCs w:val="24"/>
            <w:lang w:val="en-CA"/>
          </w:rPr>
          <m:t xml:space="preserve">, </m:t>
        </m:r>
        <m:r>
          <w:rPr>
            <w:rFonts w:ascii="Cambria Math" w:eastAsiaTheme="minorEastAsia" w:hAnsi="Cambria Math" w:cs="Times New Roman"/>
            <w:sz w:val="24"/>
            <w:szCs w:val="24"/>
            <w:lang w:val="en-CA"/>
          </w:rPr>
          <m:t>ϕ</m:t>
        </m:r>
        <m:r>
          <w:rPr>
            <w:rFonts w:ascii="Cambria Math" w:hAnsi="Cambria Math" w:cs="Times New Roman"/>
            <w:sz w:val="24"/>
            <w:szCs w:val="24"/>
            <w:lang w:val="en-CA"/>
          </w:rPr>
          <m:t>)</m:t>
        </m:r>
      </m:oMath>
      <w:r w:rsidR="00E758D4" w:rsidRPr="00544EB6">
        <w:rPr>
          <w:rFonts w:eastAsiaTheme="minorEastAsia" w:cs="Times New Roman"/>
          <w:sz w:val="24"/>
          <w:szCs w:val="24"/>
          <w:lang w:val="en-CA"/>
        </w:rPr>
        <w:t>;</w:t>
      </w:r>
    </w:p>
    <w:p w14:paraId="4ECFC687" w14:textId="5888B79D" w:rsidR="006418B5" w:rsidRPr="006418B5" w:rsidRDefault="00000000" w:rsidP="006418B5">
      <w:pPr>
        <w:pStyle w:val="ListParagraph"/>
        <w:numPr>
          <w:ilvl w:val="0"/>
          <w:numId w:val="1"/>
        </w:numPr>
        <w:spacing w:line="480" w:lineRule="auto"/>
        <w:rPr>
          <w:rFonts w:cs="Times New Roman"/>
          <w:sz w:val="24"/>
          <w:szCs w:val="24"/>
          <w:lang w:val="en-CA"/>
        </w:rPr>
      </w:pPr>
      <m:oMath>
        <m:sSub>
          <m:sSubPr>
            <m:ctrlPr>
              <w:rPr>
                <w:rFonts w:ascii="Cambria Math" w:hAnsi="Cambria Math" w:cs="Times New Roman"/>
                <w:i/>
                <w:sz w:val="24"/>
                <w:szCs w:val="24"/>
                <w:lang w:val="en-CA"/>
              </w:rPr>
            </m:ctrlPr>
          </m:sSubPr>
          <m:e>
            <m:r>
              <w:rPr>
                <w:rFonts w:ascii="Cambria Math" w:hAnsi="Cambria Math" w:cs="Times New Roman"/>
                <w:sz w:val="24"/>
                <w:szCs w:val="24"/>
                <w:lang w:val="en-CA"/>
              </w:rPr>
              <m:t>y</m:t>
            </m:r>
          </m:e>
          <m:sub>
            <m:r>
              <w:rPr>
                <w:rFonts w:ascii="Cambria Math" w:hAnsi="Cambria Math" w:cs="Times New Roman"/>
                <w:sz w:val="24"/>
                <w:szCs w:val="24"/>
                <w:lang w:val="en-CA"/>
              </w:rPr>
              <m:t>i,j</m:t>
            </m:r>
          </m:sub>
        </m:sSub>
        <m:r>
          <w:rPr>
            <w:rFonts w:ascii="Cambria Math" w:hAnsi="Cambria Math" w:cs="Times New Roman"/>
            <w:sz w:val="24"/>
            <w:szCs w:val="24"/>
            <w:lang w:val="en-CA"/>
          </w:rPr>
          <m:t xml:space="preserve"> ~ binomial(</m:t>
        </m:r>
        <m:sSub>
          <m:sSubPr>
            <m:ctrlPr>
              <w:rPr>
                <w:rFonts w:ascii="Cambria Math" w:hAnsi="Cambria Math" w:cs="Times New Roman"/>
                <w:i/>
                <w:sz w:val="24"/>
                <w:szCs w:val="24"/>
                <w:lang w:val="en-CA"/>
              </w:rPr>
            </m:ctrlPr>
          </m:sSubPr>
          <m:e>
            <m:r>
              <w:rPr>
                <w:rFonts w:ascii="Cambria Math" w:hAnsi="Cambria Math" w:cs="Times New Roman"/>
                <w:sz w:val="24"/>
                <w:szCs w:val="24"/>
                <w:lang w:val="en-CA"/>
              </w:rPr>
              <m:t>N</m:t>
            </m:r>
          </m:e>
          <m:sub>
            <m:r>
              <w:rPr>
                <w:rFonts w:ascii="Cambria Math" w:hAnsi="Cambria Math" w:cs="Times New Roman"/>
                <w:sz w:val="24"/>
                <w:szCs w:val="24"/>
                <w:lang w:val="en-CA"/>
              </w:rPr>
              <m:t>i</m:t>
            </m:r>
          </m:sub>
        </m:sSub>
        <m:r>
          <w:rPr>
            <w:rFonts w:ascii="Cambria Math" w:hAnsi="Cambria Math" w:cs="Times New Roman"/>
            <w:sz w:val="24"/>
            <w:szCs w:val="24"/>
            <w:lang w:val="en-CA"/>
          </w:rPr>
          <m:t xml:space="preserve">, </m:t>
        </m:r>
        <m:sSub>
          <m:sSubPr>
            <m:ctrlPr>
              <w:rPr>
                <w:rFonts w:ascii="Cambria Math" w:hAnsi="Cambria Math" w:cs="Times New Roman"/>
                <w:i/>
                <w:sz w:val="24"/>
                <w:szCs w:val="24"/>
                <w:lang w:val="en-CA"/>
              </w:rPr>
            </m:ctrlPr>
          </m:sSubPr>
          <m:e>
            <m:r>
              <w:rPr>
                <w:rFonts w:ascii="Cambria Math" w:hAnsi="Cambria Math" w:cs="Times New Roman"/>
                <w:sz w:val="24"/>
                <w:szCs w:val="24"/>
                <w:lang w:val="en-CA"/>
              </w:rPr>
              <m:t>p</m:t>
            </m:r>
          </m:e>
          <m:sub>
            <m:r>
              <w:rPr>
                <w:rFonts w:ascii="Cambria Math" w:hAnsi="Cambria Math" w:cs="Times New Roman"/>
                <w:sz w:val="24"/>
                <w:szCs w:val="24"/>
                <w:lang w:val="en-CA"/>
              </w:rPr>
              <m:t>i</m:t>
            </m:r>
          </m:sub>
        </m:sSub>
        <m:r>
          <w:rPr>
            <w:rFonts w:ascii="Cambria Math" w:hAnsi="Cambria Math" w:cs="Times New Roman"/>
            <w:sz w:val="24"/>
            <w:szCs w:val="24"/>
            <w:lang w:val="en-CA"/>
          </w:rPr>
          <m:t>)</m:t>
        </m:r>
      </m:oMath>
      <w:r w:rsidR="006418B5" w:rsidRPr="00544EB6">
        <w:rPr>
          <w:rFonts w:eastAsiaTheme="minorEastAsia" w:cs="Times New Roman"/>
          <w:sz w:val="24"/>
          <w:szCs w:val="24"/>
          <w:lang w:val="en-CA"/>
        </w:rPr>
        <w:t>;</w:t>
      </w:r>
    </w:p>
    <w:p w14:paraId="60E0E935" w14:textId="020F9890" w:rsidR="00E758D4" w:rsidRPr="00B53C04" w:rsidRDefault="00392543" w:rsidP="00B53C04">
      <w:pPr>
        <w:pStyle w:val="ListParagraph"/>
        <w:numPr>
          <w:ilvl w:val="0"/>
          <w:numId w:val="1"/>
        </w:numPr>
        <w:spacing w:line="480" w:lineRule="auto"/>
        <w:rPr>
          <w:rFonts w:cs="Times New Roman"/>
          <w:sz w:val="24"/>
          <w:szCs w:val="24"/>
          <w:lang w:val="en-CA"/>
        </w:rPr>
      </w:pPr>
      <m:oMath>
        <m:r>
          <w:rPr>
            <w:rFonts w:ascii="Cambria Math" w:eastAsiaTheme="minorEastAsia" w:hAnsi="Cambria Math" w:cs="Times New Roman"/>
            <w:sz w:val="24"/>
            <w:szCs w:val="24"/>
            <w:lang w:val="en-CA"/>
          </w:rPr>
          <m:t>logit(</m:t>
        </m:r>
        <m:sSub>
          <m:sSubPr>
            <m:ctrlPr>
              <w:rPr>
                <w:rFonts w:ascii="Cambria Math" w:hAnsi="Cambria Math" w:cs="Times New Roman"/>
                <w:i/>
                <w:sz w:val="24"/>
                <w:szCs w:val="24"/>
                <w:lang w:val="en-CA"/>
              </w:rPr>
            </m:ctrlPr>
          </m:sSubPr>
          <m:e>
            <m:r>
              <w:rPr>
                <w:rFonts w:ascii="Cambria Math" w:hAnsi="Cambria Math" w:cs="Times New Roman"/>
                <w:sz w:val="24"/>
                <w:szCs w:val="24"/>
                <w:lang w:val="en-CA"/>
              </w:rPr>
              <m:t>p</m:t>
            </m:r>
          </m:e>
          <m:sub>
            <m:r>
              <w:rPr>
                <w:rFonts w:ascii="Cambria Math" w:hAnsi="Cambria Math" w:cs="Times New Roman"/>
                <w:sz w:val="24"/>
                <w:szCs w:val="24"/>
                <w:lang w:val="en-CA"/>
              </w:rPr>
              <m:t>i</m:t>
            </m:r>
          </m:sub>
        </m:sSub>
        <m:r>
          <w:rPr>
            <w:rFonts w:ascii="Cambria Math" w:eastAsiaTheme="minorEastAsia" w:hAnsi="Cambria Math" w:cs="Times New Roman"/>
            <w:sz w:val="24"/>
            <w:szCs w:val="24"/>
            <w:lang w:val="en-CA"/>
          </w:rPr>
          <m:t xml:space="preserve">)= </m:t>
        </m:r>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β</m:t>
            </m:r>
          </m:e>
          <m:sub>
            <m:r>
              <w:rPr>
                <w:rFonts w:ascii="Cambria Math" w:eastAsiaTheme="minorEastAsia" w:hAnsi="Cambria Math" w:cs="Times New Roman"/>
                <w:sz w:val="24"/>
                <w:szCs w:val="24"/>
                <w:lang w:val="en-CA"/>
              </w:rPr>
              <m:t>0</m:t>
            </m:r>
          </m:sub>
        </m:sSub>
        <m:r>
          <w:rPr>
            <w:rFonts w:ascii="Cambria Math" w:eastAsiaTheme="minorEastAsia" w:hAnsi="Cambria Math" w:cs="Times New Roman"/>
            <w:sz w:val="24"/>
            <w:szCs w:val="24"/>
            <w:lang w:val="en-CA"/>
          </w:rPr>
          <m:t xml:space="preserve">+ </m:t>
        </m:r>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β</m:t>
            </m:r>
          </m:e>
          <m:sub>
            <m:r>
              <w:rPr>
                <w:rFonts w:ascii="Cambria Math" w:eastAsiaTheme="minorEastAsia" w:hAnsi="Cambria Math" w:cs="Times New Roman"/>
                <w:sz w:val="24"/>
                <w:szCs w:val="24"/>
                <w:lang w:val="en-CA"/>
              </w:rPr>
              <m:t>1</m:t>
            </m:r>
          </m:sub>
        </m:sSub>
        <m:d>
          <m:dPr>
            <m:begChr m:val="["/>
            <m:endChr m:val="]"/>
            <m:ctrlPr>
              <w:rPr>
                <w:rFonts w:ascii="Cambria Math" w:eastAsiaTheme="minorEastAsia" w:hAnsi="Cambria Math" w:cs="Times New Roman"/>
                <w:i/>
                <w:sz w:val="24"/>
                <w:szCs w:val="24"/>
                <w:lang w:val="en-CA"/>
              </w:rPr>
            </m:ctrlPr>
          </m:dPr>
          <m:e>
            <m:r>
              <w:rPr>
                <w:rFonts w:ascii="Cambria Math" w:eastAsiaTheme="minorEastAsia" w:hAnsi="Cambria Math" w:cs="Times New Roman"/>
                <w:sz w:val="24"/>
                <w:szCs w:val="24"/>
                <w:lang w:val="en-CA"/>
              </w:rPr>
              <m:t>species</m:t>
            </m:r>
          </m:e>
        </m:d>
        <m:r>
          <w:rPr>
            <w:rFonts w:ascii="Cambria Math" w:eastAsiaTheme="minorEastAsia" w:hAnsi="Cambria Math" w:cs="Times New Roman"/>
            <w:sz w:val="24"/>
            <w:szCs w:val="24"/>
            <w:lang w:val="en-CA"/>
          </w:rPr>
          <m:t>+</m:t>
        </m:r>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β</m:t>
            </m:r>
          </m:e>
          <m:sub>
            <m:r>
              <w:rPr>
                <w:rFonts w:ascii="Cambria Math" w:eastAsiaTheme="minorEastAsia" w:hAnsi="Cambria Math" w:cs="Times New Roman"/>
                <w:sz w:val="24"/>
                <w:szCs w:val="24"/>
                <w:lang w:val="en-CA"/>
              </w:rPr>
              <m:t>2</m:t>
            </m:r>
          </m:sub>
        </m:sSub>
        <m:d>
          <m:dPr>
            <m:begChr m:val="["/>
            <m:endChr m:val="]"/>
            <m:ctrlPr>
              <w:rPr>
                <w:rFonts w:ascii="Cambria Math" w:eastAsiaTheme="minorEastAsia" w:hAnsi="Cambria Math" w:cs="Times New Roman"/>
                <w:i/>
                <w:sz w:val="24"/>
                <w:szCs w:val="24"/>
                <w:lang w:val="en-CA"/>
              </w:rPr>
            </m:ctrlPr>
          </m:dPr>
          <m:e>
            <m:r>
              <w:rPr>
                <w:rFonts w:ascii="Cambria Math" w:eastAsiaTheme="minorEastAsia" w:hAnsi="Cambria Math" w:cs="Times New Roman"/>
                <w:sz w:val="24"/>
                <w:szCs w:val="24"/>
                <w:lang w:val="en-CA"/>
              </w:rPr>
              <m:t>year</m:t>
            </m:r>
          </m:e>
        </m:d>
        <m:r>
          <w:rPr>
            <w:rFonts w:ascii="Cambria Math" w:eastAsiaTheme="minorEastAsia" w:hAnsi="Cambria Math" w:cs="Times New Roman"/>
            <w:sz w:val="24"/>
            <w:szCs w:val="24"/>
            <w:lang w:val="en-CA"/>
          </w:rPr>
          <m:t>+</m:t>
        </m:r>
        <m:sSub>
          <m:sSubPr>
            <m:ctrlPr>
              <w:rPr>
                <w:rFonts w:ascii="Cambria Math" w:eastAsiaTheme="minorEastAsia" w:hAnsi="Cambria Math" w:cs="Times New Roman"/>
                <w:i/>
                <w:sz w:val="24"/>
                <w:szCs w:val="24"/>
                <w:lang w:val="en-CA"/>
              </w:rPr>
            </m:ctrlPr>
          </m:sSubPr>
          <m:e>
            <m:r>
              <w:rPr>
                <w:rFonts w:ascii="Cambria Math" w:eastAsiaTheme="minorEastAsia" w:hAnsi="Cambria Math" w:cs="Times New Roman"/>
                <w:sz w:val="24"/>
                <w:szCs w:val="24"/>
                <w:lang w:val="en-CA"/>
              </w:rPr>
              <m:t>β</m:t>
            </m:r>
          </m:e>
          <m:sub>
            <m:r>
              <w:rPr>
                <w:rFonts w:ascii="Cambria Math" w:eastAsiaTheme="minorEastAsia" w:hAnsi="Cambria Math" w:cs="Times New Roman"/>
                <w:sz w:val="24"/>
                <w:szCs w:val="24"/>
                <w:lang w:val="en-CA"/>
              </w:rPr>
              <m:t>3</m:t>
            </m:r>
          </m:sub>
        </m:sSub>
        <m:d>
          <m:dPr>
            <m:begChr m:val="["/>
            <m:endChr m:val="]"/>
            <m:ctrlPr>
              <w:rPr>
                <w:rFonts w:ascii="Cambria Math" w:eastAsiaTheme="minorEastAsia" w:hAnsi="Cambria Math" w:cs="Times New Roman"/>
                <w:i/>
                <w:sz w:val="24"/>
                <w:szCs w:val="24"/>
                <w:lang w:val="en-CA"/>
              </w:rPr>
            </m:ctrlPr>
          </m:dPr>
          <m:e>
            <m:r>
              <w:rPr>
                <w:rFonts w:ascii="Cambria Math" w:eastAsiaTheme="minorEastAsia" w:hAnsi="Cambria Math" w:cs="Times New Roman"/>
                <w:sz w:val="24"/>
                <w:szCs w:val="24"/>
                <w:lang w:val="en-CA"/>
              </w:rPr>
              <m:t>species</m:t>
            </m:r>
          </m:e>
        </m:d>
        <m:r>
          <w:rPr>
            <w:rFonts w:ascii="Cambria Math" w:eastAsiaTheme="minorEastAsia" w:hAnsi="Cambria Math" w:cs="Times New Roman"/>
            <w:sz w:val="24"/>
            <w:szCs w:val="24"/>
            <w:lang w:val="en-CA"/>
          </w:rPr>
          <m:t xml:space="preserve"> ×restoration[i] </m:t>
        </m:r>
      </m:oMath>
    </w:p>
    <w:p w14:paraId="1F32450A" w14:textId="399A868D" w:rsidR="00B53C04" w:rsidRDefault="00E758D4" w:rsidP="00E758D4">
      <w:pPr>
        <w:spacing w:line="480" w:lineRule="auto"/>
        <w:ind w:firstLine="720"/>
        <w:rPr>
          <w:rFonts w:eastAsiaTheme="minorEastAsia"/>
          <w:lang w:val="en-CA"/>
        </w:rPr>
      </w:pPr>
      <w:r>
        <w:rPr>
          <w:lang w:val="en-CA"/>
        </w:rPr>
        <w:t xml:space="preserve">The programming language Stan does not explicitly </w:t>
      </w:r>
      <w:r>
        <w:rPr>
          <w:rFonts w:eastAsiaTheme="minorEastAsia"/>
          <w:lang w:val="en-CA"/>
        </w:rPr>
        <w:t xml:space="preserve">allow for latent discrete variable parameterization. As such we used a marginalized model form that calculates the log-likelihood of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i,j</m:t>
            </m:r>
          </m:sub>
        </m:sSub>
      </m:oMath>
      <w:r>
        <w:rPr>
          <w:rFonts w:eastAsiaTheme="minorEastAsia"/>
          <w:lang w:val="en-CA"/>
        </w:rPr>
        <w:t xml:space="preserve"> given a proposed detection rate </w:t>
      </w:r>
      <m:oMath>
        <m:sSub>
          <m:sSubPr>
            <m:ctrlPr>
              <w:rPr>
                <w:rFonts w:ascii="Cambria Math" w:hAnsi="Cambria Math"/>
                <w:i/>
                <w:lang w:val="en-CA"/>
              </w:rPr>
            </m:ctrlPr>
          </m:sSubPr>
          <m:e>
            <m:r>
              <w:rPr>
                <w:rFonts w:ascii="Cambria Math" w:hAnsi="Cambria Math"/>
                <w:lang w:val="en-CA"/>
              </w:rPr>
              <m:t>p</m:t>
            </m:r>
          </m:e>
          <m:sub>
            <m:r>
              <w:rPr>
                <w:rFonts w:ascii="Cambria Math" w:hAnsi="Cambria Math"/>
                <w:lang w:val="en-CA"/>
              </w:rPr>
              <m:t>i</m:t>
            </m:r>
          </m:sub>
        </m:sSub>
      </m:oMath>
      <w:r>
        <w:rPr>
          <w:rFonts w:eastAsiaTheme="minorEastAsia"/>
          <w:lang w:val="en-CA"/>
        </w:rPr>
        <w:t xml:space="preserve"> across all possible values of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Pr>
          <w:rFonts w:eastAsiaTheme="minorEastAsia"/>
          <w:lang w:val="en-CA"/>
        </w:rPr>
        <w:t xml:space="preserve"> in the range of max(</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i,j</m:t>
            </m:r>
          </m:sub>
        </m:sSub>
      </m:oMath>
      <w:r>
        <w:rPr>
          <w:rFonts w:eastAsiaTheme="minorEastAsia"/>
          <w:lang w:val="en-CA"/>
        </w:rPr>
        <w:t xml:space="preserve">) to some arbitrarily large integer </w:t>
      </w:r>
      <m:oMath>
        <m:r>
          <w:rPr>
            <w:rFonts w:ascii="Cambria Math" w:eastAsiaTheme="minorEastAsia" w:hAnsi="Cambria Math"/>
            <w:lang w:val="en-CA"/>
          </w:rPr>
          <m:t>K</m:t>
        </m:r>
      </m:oMath>
      <w:r>
        <w:rPr>
          <w:rFonts w:eastAsiaTheme="minorEastAsia"/>
          <w:lang w:val="en-CA"/>
        </w:rPr>
        <w:t xml:space="preserve"> (cite that salamander paper)</w:t>
      </w:r>
      <w:r w:rsidR="00B53C04">
        <w:rPr>
          <w:rFonts w:eastAsiaTheme="minorEastAsia"/>
          <w:lang w:val="en-CA"/>
        </w:rPr>
        <w:t>. S</w:t>
      </w:r>
      <w:r>
        <w:rPr>
          <w:rFonts w:eastAsiaTheme="minorEastAsia"/>
          <w:lang w:val="en-CA"/>
        </w:rPr>
        <w:t xml:space="preserve">imultaneously </w:t>
      </w:r>
      <w:r w:rsidR="00B53C04">
        <w:rPr>
          <w:rFonts w:eastAsiaTheme="minorEastAsia"/>
          <w:lang w:val="en-CA"/>
        </w:rPr>
        <w:t xml:space="preserve">our model </w:t>
      </w:r>
      <w:r>
        <w:rPr>
          <w:rFonts w:eastAsiaTheme="minorEastAsia"/>
          <w:lang w:val="en-CA"/>
        </w:rPr>
        <w:t>estimat</w:t>
      </w:r>
      <w:r w:rsidR="00B53C04">
        <w:rPr>
          <w:rFonts w:eastAsiaTheme="minorEastAsia"/>
          <w:lang w:val="en-CA"/>
        </w:rPr>
        <w:t>es</w:t>
      </w:r>
      <w:r>
        <w:rPr>
          <w:rFonts w:eastAsiaTheme="minorEastAsia"/>
          <w:lang w:val="en-CA"/>
        </w:rPr>
        <w:t xml:space="preserve"> </w:t>
      </w:r>
      <w:r w:rsidR="00B53C04">
        <w:rPr>
          <w:rFonts w:eastAsiaTheme="minorEastAsia"/>
          <w:lang w:val="en-CA"/>
        </w:rPr>
        <w:t xml:space="preserve">and sums the log-likelihood of each value of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B53C04">
        <w:rPr>
          <w:rFonts w:eastAsiaTheme="minorEastAsia"/>
          <w:lang w:val="en-CA"/>
        </w:rPr>
        <w:t xml:space="preserve"> given the abundance generating process (salamander paper). Previous studies have shown that binmix models can be sensitive to the choice of </w:t>
      </w:r>
      <m:oMath>
        <m:r>
          <w:rPr>
            <w:rFonts w:ascii="Cambria Math" w:eastAsiaTheme="minorEastAsia" w:hAnsi="Cambria Math"/>
            <w:lang w:val="en-CA"/>
          </w:rPr>
          <m:t>K</m:t>
        </m:r>
      </m:oMath>
      <w:r w:rsidR="00B53C04">
        <w:rPr>
          <w:rFonts w:eastAsiaTheme="minorEastAsia"/>
          <w:lang w:val="en-CA"/>
        </w:rPr>
        <w:t>.</w:t>
      </w:r>
    </w:p>
    <w:p w14:paraId="233460D3" w14:textId="77777777" w:rsidR="00B53C04" w:rsidRDefault="00B53C04" w:rsidP="00E758D4">
      <w:pPr>
        <w:spacing w:line="480" w:lineRule="auto"/>
        <w:ind w:firstLine="720"/>
        <w:rPr>
          <w:rFonts w:eastAsiaTheme="minorEastAsia"/>
          <w:lang w:val="en-CA"/>
        </w:rPr>
      </w:pPr>
    </w:p>
    <w:p w14:paraId="5F708183" w14:textId="668F5172" w:rsidR="00E758D4" w:rsidRPr="00E758D4" w:rsidRDefault="00B53C04" w:rsidP="00E758D4">
      <w:pPr>
        <w:spacing w:line="480" w:lineRule="auto"/>
        <w:ind w:firstLine="720"/>
        <w:rPr>
          <w:lang w:val="en-CA"/>
        </w:rPr>
      </w:pPr>
      <w:r>
        <w:rPr>
          <w:rFonts w:eastAsiaTheme="minorEastAsia"/>
          <w:lang w:val="en-CA"/>
        </w:rPr>
        <w:t xml:space="preserve">As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Pr>
          <w:rFonts w:eastAsiaTheme="minorEastAsia"/>
          <w:lang w:val="en-CA"/>
        </w:rPr>
        <w:t xml:space="preserve"> gets increasingly large . The choice of K .  </w:t>
      </w:r>
    </w:p>
    <w:p w14:paraId="0E8137C3" w14:textId="3DD96166" w:rsidR="00D71B30" w:rsidRPr="007149AB" w:rsidRDefault="00B53C04" w:rsidP="00544EB6">
      <w:pPr>
        <w:spacing w:line="480" w:lineRule="auto"/>
        <w:rPr>
          <w:lang w:val="en-CA"/>
        </w:rPr>
      </w:pPr>
      <w:r>
        <w:rPr>
          <w:lang w:val="en-CA"/>
        </w:rPr>
        <w:tab/>
        <w:t>Finally, for the multimix, we specified a three-tiered model that simultaneously weighs the likelihood of an abundance generating process producing _ number of individuals, with the observer detecting _ number of individuals one or more times across all surveys and the likelihood that those individuals have some observable encounter histories _.</w:t>
      </w:r>
    </w:p>
    <w:p w14:paraId="5C095C75" w14:textId="3DABF7BB" w:rsidR="00B512B6" w:rsidRDefault="00B3215B" w:rsidP="00B33FC4">
      <w:pPr>
        <w:spacing w:line="480" w:lineRule="auto"/>
        <w:rPr>
          <w:lang w:val="en-CA"/>
        </w:rPr>
      </w:pPr>
      <w:r>
        <w:rPr>
          <w:i/>
          <w:iCs/>
          <w:lang w:val="en-CA"/>
        </w:rPr>
        <w:t>Simulation</w:t>
      </w:r>
      <w:r w:rsidR="00B512B6">
        <w:rPr>
          <w:i/>
          <w:iCs/>
          <w:lang w:val="en-CA"/>
        </w:rPr>
        <w:t xml:space="preserve"> study</w:t>
      </w:r>
    </w:p>
    <w:p w14:paraId="51E909FF" w14:textId="77777777" w:rsidR="00B512B6" w:rsidRDefault="00B512B6" w:rsidP="00B33FC4">
      <w:pPr>
        <w:spacing w:line="480" w:lineRule="auto"/>
        <w:rPr>
          <w:b/>
          <w:bCs/>
          <w:lang w:val="en-CA"/>
        </w:rPr>
      </w:pPr>
    </w:p>
    <w:p w14:paraId="20F86112" w14:textId="77995F46" w:rsidR="00B512B6" w:rsidRDefault="00B512B6" w:rsidP="00B33FC4">
      <w:pPr>
        <w:spacing w:line="480" w:lineRule="auto"/>
        <w:rPr>
          <w:b/>
          <w:bCs/>
          <w:lang w:val="en-CA"/>
        </w:rPr>
      </w:pPr>
      <w:r>
        <w:rPr>
          <w:b/>
          <w:bCs/>
          <w:lang w:val="en-CA"/>
        </w:rPr>
        <w:t>Results</w:t>
      </w:r>
    </w:p>
    <w:p w14:paraId="1D739EA2" w14:textId="77777777" w:rsidR="00B512B6" w:rsidRDefault="00B512B6" w:rsidP="00B33FC4">
      <w:pPr>
        <w:spacing w:line="480" w:lineRule="auto"/>
        <w:rPr>
          <w:b/>
          <w:bCs/>
          <w:lang w:val="en-CA"/>
        </w:rPr>
      </w:pPr>
    </w:p>
    <w:p w14:paraId="0903A84A" w14:textId="0299958F" w:rsidR="00B512B6" w:rsidRDefault="00B512B6" w:rsidP="00B33FC4">
      <w:pPr>
        <w:spacing w:line="480" w:lineRule="auto"/>
        <w:rPr>
          <w:b/>
          <w:bCs/>
          <w:lang w:val="en-CA"/>
        </w:rPr>
      </w:pPr>
      <w:r>
        <w:rPr>
          <w:b/>
          <w:bCs/>
          <w:lang w:val="en-CA"/>
        </w:rPr>
        <w:t>Discussion</w:t>
      </w:r>
    </w:p>
    <w:p w14:paraId="318521AC" w14:textId="77777777" w:rsidR="00B512B6" w:rsidRPr="00B512B6" w:rsidRDefault="00B512B6" w:rsidP="00B33FC4">
      <w:pPr>
        <w:spacing w:line="480" w:lineRule="auto"/>
        <w:rPr>
          <w:lang w:val="en-CA"/>
        </w:rPr>
      </w:pPr>
    </w:p>
    <w:p w14:paraId="1BD83C9A" w14:textId="77777777" w:rsidR="002F5BEA" w:rsidRDefault="002F5BEA" w:rsidP="008C4499">
      <w:pPr>
        <w:rPr>
          <w:b/>
          <w:bCs/>
          <w:lang w:val="en-CA"/>
        </w:rPr>
      </w:pPr>
    </w:p>
    <w:p w14:paraId="3291FC6E" w14:textId="7979835F" w:rsidR="00F75794" w:rsidRDefault="00F75794" w:rsidP="008C4499">
      <w:pPr>
        <w:rPr>
          <w:b/>
          <w:bCs/>
          <w:lang w:val="en-CA"/>
        </w:rPr>
      </w:pPr>
      <w:r>
        <w:rPr>
          <w:b/>
          <w:bCs/>
          <w:lang w:val="en-CA"/>
        </w:rPr>
        <w:t>References</w:t>
      </w:r>
    </w:p>
    <w:p w14:paraId="7BEBC494" w14:textId="2ED2B371" w:rsidR="00BE083F" w:rsidRPr="00BE083F" w:rsidRDefault="00F75794" w:rsidP="00BE083F">
      <w:pPr>
        <w:widowControl w:val="0"/>
        <w:autoSpaceDE w:val="0"/>
        <w:autoSpaceDN w:val="0"/>
        <w:adjustRightInd w:val="0"/>
        <w:spacing w:line="240" w:lineRule="auto"/>
        <w:ind w:left="480" w:hanging="480"/>
        <w:rPr>
          <w:rFonts w:ascii="Aptos" w:hAnsi="Aptos" w:cs="Times New Roman"/>
          <w:noProof/>
          <w:kern w:val="0"/>
        </w:rPr>
      </w:pPr>
      <w:r>
        <w:rPr>
          <w:lang w:val="en-CA"/>
        </w:rPr>
        <w:fldChar w:fldCharType="begin" w:fldLock="1"/>
      </w:r>
      <w:r>
        <w:rPr>
          <w:lang w:val="en-CA"/>
        </w:rPr>
        <w:instrText xml:space="preserve">ADDIN Mendeley Bibliography CSL_BIBLIOGRAPHY </w:instrText>
      </w:r>
      <w:r>
        <w:rPr>
          <w:lang w:val="en-CA"/>
        </w:rPr>
        <w:fldChar w:fldCharType="separate"/>
      </w:r>
      <w:r w:rsidR="00BE083F" w:rsidRPr="00BE083F">
        <w:rPr>
          <w:rFonts w:ascii="Aptos" w:hAnsi="Aptos" w:cs="Times New Roman"/>
          <w:noProof/>
          <w:kern w:val="0"/>
        </w:rPr>
        <w:t xml:space="preserve">Blaauw, Brett R., and Rufus Isaacs. 2014. “Flower Plantings Increase Wild Bee Abundance and the Pollination Services Provided to a Pollination-Dependent Crop.” </w:t>
      </w:r>
      <w:r w:rsidR="00BE083F" w:rsidRPr="00BE083F">
        <w:rPr>
          <w:rFonts w:ascii="Aptos" w:hAnsi="Aptos" w:cs="Times New Roman"/>
          <w:i/>
          <w:iCs/>
          <w:noProof/>
          <w:kern w:val="0"/>
        </w:rPr>
        <w:t>Journal of Applied Ecology</w:t>
      </w:r>
      <w:r w:rsidR="00BE083F" w:rsidRPr="00BE083F">
        <w:rPr>
          <w:rFonts w:ascii="Aptos" w:hAnsi="Aptos" w:cs="Times New Roman"/>
          <w:noProof/>
          <w:kern w:val="0"/>
        </w:rPr>
        <w:t xml:space="preserve"> 51 (4): 890–98. https://doi.org/10.1111/1365-2664.12257.</w:t>
      </w:r>
    </w:p>
    <w:p w14:paraId="1EE16EA2" w14:textId="77777777" w:rsidR="00BE083F" w:rsidRPr="00BE083F" w:rsidRDefault="00BE083F" w:rsidP="00BE083F">
      <w:pPr>
        <w:widowControl w:val="0"/>
        <w:autoSpaceDE w:val="0"/>
        <w:autoSpaceDN w:val="0"/>
        <w:adjustRightInd w:val="0"/>
        <w:spacing w:line="240" w:lineRule="auto"/>
        <w:ind w:left="480" w:hanging="480"/>
        <w:rPr>
          <w:rFonts w:ascii="Aptos" w:hAnsi="Aptos" w:cs="Times New Roman"/>
          <w:noProof/>
          <w:kern w:val="0"/>
        </w:rPr>
      </w:pPr>
      <w:r w:rsidRPr="00BE083F">
        <w:rPr>
          <w:rFonts w:ascii="Aptos" w:hAnsi="Aptos" w:cs="Times New Roman"/>
          <w:noProof/>
          <w:kern w:val="0"/>
        </w:rPr>
        <w:t xml:space="preserve">Briggs, Emma L, Christopher Baranski, Olivia Münzer Schaetz, Gabriela Garrison, Jaime A Collazo, and Elsa Youngsteadt. 2022. “Estimating Bee Abundance: Can Mark-Recapture Methods Validate Common Sampling Protocols?” </w:t>
      </w:r>
      <w:r w:rsidRPr="00BE083F">
        <w:rPr>
          <w:rFonts w:ascii="Aptos" w:hAnsi="Aptos" w:cs="Times New Roman"/>
          <w:i/>
          <w:iCs/>
          <w:noProof/>
          <w:kern w:val="0"/>
        </w:rPr>
        <w:t>Apidologie</w:t>
      </w:r>
      <w:r w:rsidRPr="00BE083F">
        <w:rPr>
          <w:rFonts w:ascii="Aptos" w:hAnsi="Aptos" w:cs="Times New Roman"/>
          <w:noProof/>
          <w:kern w:val="0"/>
        </w:rPr>
        <w:t xml:space="preserve"> 53 (1): 10. https://doi.org/10.1007/s13592-022-00919-4.</w:t>
      </w:r>
    </w:p>
    <w:p w14:paraId="495E02E9" w14:textId="77777777" w:rsidR="00BE083F" w:rsidRPr="00BE083F" w:rsidRDefault="00BE083F" w:rsidP="00BE083F">
      <w:pPr>
        <w:widowControl w:val="0"/>
        <w:autoSpaceDE w:val="0"/>
        <w:autoSpaceDN w:val="0"/>
        <w:adjustRightInd w:val="0"/>
        <w:spacing w:line="240" w:lineRule="auto"/>
        <w:ind w:left="480" w:hanging="480"/>
        <w:rPr>
          <w:rFonts w:ascii="Aptos" w:hAnsi="Aptos" w:cs="Times New Roman"/>
          <w:noProof/>
          <w:kern w:val="0"/>
        </w:rPr>
      </w:pPr>
      <w:r w:rsidRPr="00BE083F">
        <w:rPr>
          <w:rFonts w:ascii="Aptos" w:hAnsi="Aptos" w:cs="Times New Roman"/>
          <w:noProof/>
          <w:kern w:val="0"/>
        </w:rPr>
        <w:t xml:space="preserve">Danforth, B, R Minckley, and J Neff. 2019. </w:t>
      </w:r>
      <w:r w:rsidRPr="00BE083F">
        <w:rPr>
          <w:rFonts w:ascii="Aptos" w:hAnsi="Aptos" w:cs="Times New Roman"/>
          <w:i/>
          <w:iCs/>
          <w:noProof/>
          <w:kern w:val="0"/>
        </w:rPr>
        <w:t>The Solitary Bees: Biology, Evolution, Conservation</w:t>
      </w:r>
      <w:r w:rsidRPr="00BE083F">
        <w:rPr>
          <w:rFonts w:ascii="Aptos" w:hAnsi="Aptos" w:cs="Times New Roman"/>
          <w:noProof/>
          <w:kern w:val="0"/>
        </w:rPr>
        <w:t>. Princeton University Press.</w:t>
      </w:r>
    </w:p>
    <w:p w14:paraId="36A2781E" w14:textId="77777777" w:rsidR="00BE083F" w:rsidRPr="00BE083F" w:rsidRDefault="00BE083F" w:rsidP="00BE083F">
      <w:pPr>
        <w:widowControl w:val="0"/>
        <w:autoSpaceDE w:val="0"/>
        <w:autoSpaceDN w:val="0"/>
        <w:adjustRightInd w:val="0"/>
        <w:spacing w:line="240" w:lineRule="auto"/>
        <w:ind w:left="480" w:hanging="480"/>
        <w:rPr>
          <w:rFonts w:ascii="Aptos" w:hAnsi="Aptos" w:cs="Times New Roman"/>
          <w:noProof/>
          <w:kern w:val="0"/>
        </w:rPr>
      </w:pPr>
      <w:r w:rsidRPr="00BE083F">
        <w:rPr>
          <w:rFonts w:ascii="Aptos" w:hAnsi="Aptos" w:cs="Times New Roman"/>
          <w:noProof/>
          <w:kern w:val="0"/>
        </w:rPr>
        <w:t xml:space="preserve">Gaston, K. J., and B. H. McArdle. 1994. “The Temporal Variability of Animal Abundances: Measures, Methods and Patterns.” </w:t>
      </w:r>
      <w:r w:rsidRPr="00BE083F">
        <w:rPr>
          <w:rFonts w:ascii="Aptos" w:hAnsi="Aptos" w:cs="Times New Roman"/>
          <w:i/>
          <w:iCs/>
          <w:noProof/>
          <w:kern w:val="0"/>
        </w:rPr>
        <w:t>Philosophical Transactions of the Royal Society of London. Series B: Biological Sciences</w:t>
      </w:r>
      <w:r w:rsidRPr="00BE083F">
        <w:rPr>
          <w:rFonts w:ascii="Aptos" w:hAnsi="Aptos" w:cs="Times New Roman"/>
          <w:noProof/>
          <w:kern w:val="0"/>
        </w:rPr>
        <w:t xml:space="preserve"> 345 (1314): 335–58. https://doi.org/10.1098/RSTB.1994.0114.</w:t>
      </w:r>
    </w:p>
    <w:p w14:paraId="11E6D7B7" w14:textId="77777777" w:rsidR="00BE083F" w:rsidRPr="00BE083F" w:rsidRDefault="00BE083F" w:rsidP="00BE083F">
      <w:pPr>
        <w:widowControl w:val="0"/>
        <w:autoSpaceDE w:val="0"/>
        <w:autoSpaceDN w:val="0"/>
        <w:adjustRightInd w:val="0"/>
        <w:spacing w:line="240" w:lineRule="auto"/>
        <w:ind w:left="480" w:hanging="480"/>
        <w:rPr>
          <w:rFonts w:ascii="Aptos" w:hAnsi="Aptos" w:cs="Times New Roman"/>
          <w:noProof/>
          <w:kern w:val="0"/>
        </w:rPr>
      </w:pPr>
      <w:r w:rsidRPr="00BE083F">
        <w:rPr>
          <w:rFonts w:ascii="Aptos" w:hAnsi="Aptos" w:cs="Times New Roman"/>
          <w:noProof/>
          <w:kern w:val="0"/>
        </w:rPr>
        <w:t xml:space="preserve">Goldstein, Benjamin R., Sara Stoudt, Jayme M.M. Lewthwaite, Vaughn Shirey, Eros Mendoza, and Laura Melissa Guzman. 2024. “Logistical and Preference Bias in Participatory Science Butterfly Data.” </w:t>
      </w:r>
      <w:r w:rsidRPr="00BE083F">
        <w:rPr>
          <w:rFonts w:ascii="Aptos" w:hAnsi="Aptos" w:cs="Times New Roman"/>
          <w:i/>
          <w:iCs/>
          <w:noProof/>
          <w:kern w:val="0"/>
        </w:rPr>
        <w:t>Frontiers in Ecology and the Environment</w:t>
      </w:r>
      <w:r w:rsidRPr="00BE083F">
        <w:rPr>
          <w:rFonts w:ascii="Aptos" w:hAnsi="Aptos" w:cs="Times New Roman"/>
          <w:noProof/>
          <w:kern w:val="0"/>
        </w:rPr>
        <w:t>, October. https://doi.org/10.1002/FEE.2783.</w:t>
      </w:r>
    </w:p>
    <w:p w14:paraId="5FEE3F86" w14:textId="77777777" w:rsidR="00BE083F" w:rsidRPr="00BE083F" w:rsidRDefault="00BE083F" w:rsidP="00BE083F">
      <w:pPr>
        <w:widowControl w:val="0"/>
        <w:autoSpaceDE w:val="0"/>
        <w:autoSpaceDN w:val="0"/>
        <w:adjustRightInd w:val="0"/>
        <w:spacing w:line="240" w:lineRule="auto"/>
        <w:ind w:left="480" w:hanging="480"/>
        <w:rPr>
          <w:rFonts w:ascii="Aptos" w:hAnsi="Aptos" w:cs="Times New Roman"/>
          <w:noProof/>
          <w:kern w:val="0"/>
        </w:rPr>
      </w:pPr>
      <w:r w:rsidRPr="00BE083F">
        <w:rPr>
          <w:rFonts w:ascii="Aptos" w:hAnsi="Aptos" w:cs="Times New Roman"/>
          <w:noProof/>
          <w:kern w:val="0"/>
        </w:rPr>
        <w:t xml:space="preserve">Greenleaf, S., N. Williams, R. Winfree, and C. Kremen. 2007. “Bee Foraging Ranges and Their Relationship to Body Size.” </w:t>
      </w:r>
      <w:r w:rsidRPr="00BE083F">
        <w:rPr>
          <w:rFonts w:ascii="Aptos" w:hAnsi="Aptos" w:cs="Times New Roman"/>
          <w:i/>
          <w:iCs/>
          <w:noProof/>
          <w:kern w:val="0"/>
        </w:rPr>
        <w:t>Oecologia</w:t>
      </w:r>
      <w:r w:rsidRPr="00BE083F">
        <w:rPr>
          <w:rFonts w:ascii="Aptos" w:hAnsi="Aptos" w:cs="Times New Roman"/>
          <w:noProof/>
          <w:kern w:val="0"/>
        </w:rPr>
        <w:t xml:space="preserve"> 153: 589–96. https://doi.org/10.1007/s00442-007-0752-9.</w:t>
      </w:r>
    </w:p>
    <w:p w14:paraId="5207F2C9" w14:textId="77777777" w:rsidR="00BE083F" w:rsidRPr="00BE083F" w:rsidRDefault="00BE083F" w:rsidP="00BE083F">
      <w:pPr>
        <w:widowControl w:val="0"/>
        <w:autoSpaceDE w:val="0"/>
        <w:autoSpaceDN w:val="0"/>
        <w:adjustRightInd w:val="0"/>
        <w:spacing w:line="240" w:lineRule="auto"/>
        <w:ind w:left="480" w:hanging="480"/>
        <w:rPr>
          <w:rFonts w:ascii="Aptos" w:hAnsi="Aptos" w:cs="Times New Roman"/>
          <w:noProof/>
          <w:kern w:val="0"/>
        </w:rPr>
      </w:pPr>
      <w:r w:rsidRPr="00BE083F">
        <w:rPr>
          <w:rFonts w:ascii="Aptos" w:hAnsi="Aptos" w:cs="Times New Roman"/>
          <w:noProof/>
          <w:kern w:val="0"/>
        </w:rPr>
        <w:t xml:space="preserve">Haddad, Nick M., Brian Hudgens, Chris Damiani, Kevin Gross, Daniel Kuefler, and Ken Pollock. 2008. “Determining Optimal Population Monitoring for Rare Butterflies.” </w:t>
      </w:r>
      <w:r w:rsidRPr="00BE083F">
        <w:rPr>
          <w:rFonts w:ascii="Aptos" w:hAnsi="Aptos" w:cs="Times New Roman"/>
          <w:i/>
          <w:iCs/>
          <w:noProof/>
          <w:kern w:val="0"/>
        </w:rPr>
        <w:t>Conservation Biology</w:t>
      </w:r>
      <w:r w:rsidRPr="00BE083F">
        <w:rPr>
          <w:rFonts w:ascii="Aptos" w:hAnsi="Aptos" w:cs="Times New Roman"/>
          <w:noProof/>
          <w:kern w:val="0"/>
        </w:rPr>
        <w:t xml:space="preserve"> 22 (4): 929–40. https://doi.org/10.1111/J.1523-1739.2008.00932.X.</w:t>
      </w:r>
    </w:p>
    <w:p w14:paraId="15F9F392" w14:textId="77777777" w:rsidR="00BE083F" w:rsidRPr="00BE083F" w:rsidRDefault="00BE083F" w:rsidP="00BE083F">
      <w:pPr>
        <w:widowControl w:val="0"/>
        <w:autoSpaceDE w:val="0"/>
        <w:autoSpaceDN w:val="0"/>
        <w:adjustRightInd w:val="0"/>
        <w:spacing w:line="240" w:lineRule="auto"/>
        <w:ind w:left="480" w:hanging="480"/>
        <w:rPr>
          <w:rFonts w:ascii="Aptos" w:hAnsi="Aptos" w:cs="Times New Roman"/>
          <w:noProof/>
          <w:kern w:val="0"/>
        </w:rPr>
      </w:pPr>
      <w:r w:rsidRPr="00BE083F">
        <w:rPr>
          <w:rFonts w:ascii="Aptos" w:hAnsi="Aptos" w:cs="Times New Roman"/>
          <w:noProof/>
          <w:kern w:val="0"/>
        </w:rPr>
        <w:t xml:space="preserve">Kery, M., and J. A. Royle. 2020. </w:t>
      </w:r>
      <w:r w:rsidRPr="00BE083F">
        <w:rPr>
          <w:rFonts w:ascii="Aptos" w:hAnsi="Aptos" w:cs="Times New Roman"/>
          <w:i/>
          <w:iCs/>
          <w:noProof/>
          <w:kern w:val="0"/>
        </w:rPr>
        <w:t>Applied Hierarchical Modeling in Ecology: Analysis of Distribution, Abundance and Species Richness in R and BUGS: Volume 2: Dynamic and Advanced Models</w:t>
      </w:r>
      <w:r w:rsidRPr="00BE083F">
        <w:rPr>
          <w:rFonts w:ascii="Aptos" w:hAnsi="Aptos" w:cs="Times New Roman"/>
          <w:noProof/>
          <w:kern w:val="0"/>
        </w:rPr>
        <w:t>. Academic Press.</w:t>
      </w:r>
    </w:p>
    <w:p w14:paraId="3101E6C1" w14:textId="77777777" w:rsidR="00BE083F" w:rsidRPr="00BE083F" w:rsidRDefault="00BE083F" w:rsidP="00BE083F">
      <w:pPr>
        <w:widowControl w:val="0"/>
        <w:autoSpaceDE w:val="0"/>
        <w:autoSpaceDN w:val="0"/>
        <w:adjustRightInd w:val="0"/>
        <w:spacing w:line="240" w:lineRule="auto"/>
        <w:ind w:left="480" w:hanging="480"/>
        <w:rPr>
          <w:rFonts w:ascii="Aptos" w:hAnsi="Aptos" w:cs="Times New Roman"/>
          <w:noProof/>
          <w:kern w:val="0"/>
        </w:rPr>
      </w:pPr>
      <w:r w:rsidRPr="00BE083F">
        <w:rPr>
          <w:rFonts w:ascii="Aptos" w:hAnsi="Aptos" w:cs="Times New Roman"/>
          <w:noProof/>
          <w:kern w:val="0"/>
        </w:rPr>
        <w:t xml:space="preserve">Krebs, C. J. 1978. </w:t>
      </w:r>
      <w:r w:rsidRPr="00BE083F">
        <w:rPr>
          <w:rFonts w:ascii="Aptos" w:hAnsi="Aptos" w:cs="Times New Roman"/>
          <w:i/>
          <w:iCs/>
          <w:noProof/>
          <w:kern w:val="0"/>
        </w:rPr>
        <w:t>Ecology: The Experimental Analysis of Distribution and Abundance. 2d Ed.</w:t>
      </w:r>
      <w:r w:rsidRPr="00BE083F">
        <w:rPr>
          <w:rFonts w:ascii="Aptos" w:hAnsi="Aptos" w:cs="Times New Roman"/>
          <w:noProof/>
          <w:kern w:val="0"/>
        </w:rPr>
        <w:t xml:space="preserve"> New York: Harper &amp; Row.</w:t>
      </w:r>
    </w:p>
    <w:p w14:paraId="30FE553A" w14:textId="77777777" w:rsidR="00BE083F" w:rsidRPr="00BE083F" w:rsidRDefault="00BE083F" w:rsidP="00BE083F">
      <w:pPr>
        <w:widowControl w:val="0"/>
        <w:autoSpaceDE w:val="0"/>
        <w:autoSpaceDN w:val="0"/>
        <w:adjustRightInd w:val="0"/>
        <w:spacing w:line="240" w:lineRule="auto"/>
        <w:ind w:left="480" w:hanging="480"/>
        <w:rPr>
          <w:rFonts w:ascii="Aptos" w:hAnsi="Aptos" w:cs="Times New Roman"/>
          <w:noProof/>
          <w:kern w:val="0"/>
        </w:rPr>
      </w:pPr>
      <w:r w:rsidRPr="00BE083F">
        <w:rPr>
          <w:rFonts w:ascii="Aptos" w:hAnsi="Aptos" w:cs="Times New Roman"/>
          <w:noProof/>
          <w:kern w:val="0"/>
        </w:rPr>
        <w:t>Lincoln, F. C. 1930. “Calculating Waterfowl Abundance on the Basis of Banding Returns.” Washington DC.</w:t>
      </w:r>
    </w:p>
    <w:p w14:paraId="2818671E" w14:textId="77777777" w:rsidR="00BE083F" w:rsidRPr="00BE083F" w:rsidRDefault="00BE083F" w:rsidP="00BE083F">
      <w:pPr>
        <w:widowControl w:val="0"/>
        <w:autoSpaceDE w:val="0"/>
        <w:autoSpaceDN w:val="0"/>
        <w:adjustRightInd w:val="0"/>
        <w:spacing w:line="240" w:lineRule="auto"/>
        <w:ind w:left="480" w:hanging="480"/>
        <w:rPr>
          <w:rFonts w:ascii="Aptos" w:hAnsi="Aptos" w:cs="Times New Roman"/>
          <w:noProof/>
          <w:kern w:val="0"/>
        </w:rPr>
      </w:pPr>
      <w:r w:rsidRPr="00BE083F">
        <w:rPr>
          <w:rFonts w:ascii="Aptos" w:hAnsi="Aptos" w:cs="Times New Roman"/>
          <w:noProof/>
          <w:kern w:val="0"/>
        </w:rPr>
        <w:t xml:space="preserve">Portman, Zachary M, Bethanne Bruninga-Socolar, and Daniel P Cariveau. 2020. “The State of Bee Monitoring in the United States: A Call to Refocus Away From Bowl Traps and Towards More Effective Methods.” </w:t>
      </w:r>
      <w:r w:rsidRPr="00BE083F">
        <w:rPr>
          <w:rFonts w:ascii="Aptos" w:hAnsi="Aptos" w:cs="Times New Roman"/>
          <w:i/>
          <w:iCs/>
          <w:noProof/>
          <w:kern w:val="0"/>
        </w:rPr>
        <w:t>Annals of the Entomological Society of America</w:t>
      </w:r>
      <w:r w:rsidRPr="00BE083F">
        <w:rPr>
          <w:rFonts w:ascii="Aptos" w:hAnsi="Aptos" w:cs="Times New Roman"/>
          <w:noProof/>
          <w:kern w:val="0"/>
        </w:rPr>
        <w:t xml:space="preserve"> 113 (5): 337–42. https://doi.org/10.1093/aesa/saaa010.</w:t>
      </w:r>
    </w:p>
    <w:p w14:paraId="4B38A398" w14:textId="77777777" w:rsidR="00BE083F" w:rsidRPr="00BE083F" w:rsidRDefault="00BE083F" w:rsidP="00BE083F">
      <w:pPr>
        <w:widowControl w:val="0"/>
        <w:autoSpaceDE w:val="0"/>
        <w:autoSpaceDN w:val="0"/>
        <w:adjustRightInd w:val="0"/>
        <w:spacing w:line="240" w:lineRule="auto"/>
        <w:ind w:left="480" w:hanging="480"/>
        <w:rPr>
          <w:rFonts w:ascii="Aptos" w:hAnsi="Aptos" w:cs="Times New Roman"/>
          <w:noProof/>
          <w:kern w:val="0"/>
        </w:rPr>
      </w:pPr>
      <w:r w:rsidRPr="00BE083F">
        <w:rPr>
          <w:rFonts w:ascii="Aptos" w:hAnsi="Aptos" w:cs="Times New Roman"/>
          <w:noProof/>
          <w:kern w:val="0"/>
        </w:rPr>
        <w:t xml:space="preserve">Royle, J. Andrew, and K. Young. 2008. “A Hierarchical Model for Spatial Capture-Recapture Data.” </w:t>
      </w:r>
      <w:r w:rsidRPr="00BE083F">
        <w:rPr>
          <w:rFonts w:ascii="Aptos" w:hAnsi="Aptos" w:cs="Times New Roman"/>
          <w:i/>
          <w:iCs/>
          <w:noProof/>
          <w:kern w:val="0"/>
        </w:rPr>
        <w:t>Ecology</w:t>
      </w:r>
      <w:r w:rsidRPr="00BE083F">
        <w:rPr>
          <w:rFonts w:ascii="Aptos" w:hAnsi="Aptos" w:cs="Times New Roman"/>
          <w:noProof/>
          <w:kern w:val="0"/>
        </w:rPr>
        <w:t xml:space="preserve"> 89 (8): 2281–89. https://doi.org/10.1890/10-1440.1.</w:t>
      </w:r>
    </w:p>
    <w:p w14:paraId="56E8D2D0" w14:textId="77777777" w:rsidR="00BE083F" w:rsidRPr="00BE083F" w:rsidRDefault="00BE083F" w:rsidP="00BE083F">
      <w:pPr>
        <w:widowControl w:val="0"/>
        <w:autoSpaceDE w:val="0"/>
        <w:autoSpaceDN w:val="0"/>
        <w:adjustRightInd w:val="0"/>
        <w:spacing w:line="240" w:lineRule="auto"/>
        <w:ind w:left="480" w:hanging="480"/>
        <w:rPr>
          <w:rFonts w:ascii="Aptos" w:hAnsi="Aptos" w:cs="Times New Roman"/>
          <w:noProof/>
          <w:kern w:val="0"/>
        </w:rPr>
      </w:pPr>
      <w:r w:rsidRPr="00BE083F">
        <w:rPr>
          <w:rFonts w:ascii="Aptos" w:hAnsi="Aptos" w:cs="Times New Roman"/>
          <w:noProof/>
          <w:kern w:val="0"/>
        </w:rPr>
        <w:lastRenderedPageBreak/>
        <w:t xml:space="preserve">Rundlöf, Maj, Georg Andersson, Riccardo Bommarco, Ingemar Fries, Veronica Hederstöm, Lina Herbertsson, Ove Jonsson, et al. 2015. “Seed Coating with a Neonicotinoid Insecticide Negatively Affects Wild Bees.” </w:t>
      </w:r>
      <w:r w:rsidRPr="00BE083F">
        <w:rPr>
          <w:rFonts w:ascii="Aptos" w:hAnsi="Aptos" w:cs="Times New Roman"/>
          <w:i/>
          <w:iCs/>
          <w:noProof/>
          <w:kern w:val="0"/>
        </w:rPr>
        <w:t>Nature</w:t>
      </w:r>
      <w:r w:rsidRPr="00BE083F">
        <w:rPr>
          <w:rFonts w:ascii="Aptos" w:hAnsi="Aptos" w:cs="Times New Roman"/>
          <w:noProof/>
          <w:kern w:val="0"/>
        </w:rPr>
        <w:t xml:space="preserve"> 521: 77–80. https://doi.org/10.1038/nature14420.</w:t>
      </w:r>
    </w:p>
    <w:p w14:paraId="3CEC522D" w14:textId="77777777" w:rsidR="00BE083F" w:rsidRPr="00BE083F" w:rsidRDefault="00BE083F" w:rsidP="00BE083F">
      <w:pPr>
        <w:widowControl w:val="0"/>
        <w:autoSpaceDE w:val="0"/>
        <w:autoSpaceDN w:val="0"/>
        <w:adjustRightInd w:val="0"/>
        <w:spacing w:line="240" w:lineRule="auto"/>
        <w:ind w:left="480" w:hanging="480"/>
        <w:rPr>
          <w:rFonts w:ascii="Aptos" w:hAnsi="Aptos" w:cs="Times New Roman"/>
          <w:noProof/>
          <w:kern w:val="0"/>
        </w:rPr>
      </w:pPr>
      <w:r w:rsidRPr="00BE083F">
        <w:rPr>
          <w:rFonts w:ascii="Aptos" w:hAnsi="Aptos" w:cs="Times New Roman"/>
          <w:noProof/>
          <w:kern w:val="0"/>
        </w:rPr>
        <w:t xml:space="preserve">Wagner, D., E. Grames, M. Forister, M. Berenbaum, and D. Stopak. 2021. “Insect Decline in the Anthropocene: Death by a Thousand Cuts.” </w:t>
      </w:r>
      <w:r w:rsidRPr="00BE083F">
        <w:rPr>
          <w:rFonts w:ascii="Aptos" w:hAnsi="Aptos" w:cs="Times New Roman"/>
          <w:i/>
          <w:iCs/>
          <w:noProof/>
          <w:kern w:val="0"/>
        </w:rPr>
        <w:t>PNAS</w:t>
      </w:r>
      <w:r w:rsidRPr="00BE083F">
        <w:rPr>
          <w:rFonts w:ascii="Aptos" w:hAnsi="Aptos" w:cs="Times New Roman"/>
          <w:noProof/>
          <w:kern w:val="0"/>
        </w:rPr>
        <w:t xml:space="preserve"> 118 (2). https://doi.org/10.1073/PNAS.2023989118.</w:t>
      </w:r>
    </w:p>
    <w:p w14:paraId="51194F4E" w14:textId="77777777" w:rsidR="00BE083F" w:rsidRPr="00BE083F" w:rsidRDefault="00BE083F" w:rsidP="00BE083F">
      <w:pPr>
        <w:widowControl w:val="0"/>
        <w:autoSpaceDE w:val="0"/>
        <w:autoSpaceDN w:val="0"/>
        <w:adjustRightInd w:val="0"/>
        <w:spacing w:line="240" w:lineRule="auto"/>
        <w:ind w:left="480" w:hanging="480"/>
        <w:rPr>
          <w:rFonts w:ascii="Aptos" w:hAnsi="Aptos"/>
          <w:noProof/>
        </w:rPr>
      </w:pPr>
      <w:r w:rsidRPr="00BE083F">
        <w:rPr>
          <w:rFonts w:ascii="Aptos" w:hAnsi="Aptos" w:cs="Times New Roman"/>
          <w:noProof/>
          <w:kern w:val="0"/>
        </w:rPr>
        <w:t xml:space="preserve">Waltz, Amy E.M., and W. Wallace Covington. 2004. “Ecological Restoration Treatments Increase Butterfly Richness and Abundance: Mechanisms of Response.” </w:t>
      </w:r>
      <w:r w:rsidRPr="00BE083F">
        <w:rPr>
          <w:rFonts w:ascii="Aptos" w:hAnsi="Aptos" w:cs="Times New Roman"/>
          <w:i/>
          <w:iCs/>
          <w:noProof/>
          <w:kern w:val="0"/>
        </w:rPr>
        <w:t>Restoration Ecology</w:t>
      </w:r>
      <w:r w:rsidRPr="00BE083F">
        <w:rPr>
          <w:rFonts w:ascii="Aptos" w:hAnsi="Aptos" w:cs="Times New Roman"/>
          <w:noProof/>
          <w:kern w:val="0"/>
        </w:rPr>
        <w:t xml:space="preserve"> 12 (1): 85–96. https://doi.org/10.1111/J.1061-2971.2004.00262.X.</w:t>
      </w:r>
    </w:p>
    <w:p w14:paraId="4F79033B" w14:textId="46331B06" w:rsidR="008A4AE3" w:rsidRDefault="00F75794" w:rsidP="008C4499">
      <w:pPr>
        <w:rPr>
          <w:lang w:val="en-CA"/>
        </w:rPr>
      </w:pPr>
      <w:r>
        <w:rPr>
          <w:lang w:val="en-CA"/>
        </w:rPr>
        <w:fldChar w:fldCharType="end"/>
      </w:r>
    </w:p>
    <w:p w14:paraId="31A09C6F" w14:textId="77777777" w:rsidR="008A4AE3" w:rsidRDefault="008A4AE3">
      <w:pPr>
        <w:rPr>
          <w:lang w:val="en-CA"/>
        </w:rPr>
      </w:pPr>
      <w:r>
        <w:rPr>
          <w:lang w:val="en-CA"/>
        </w:rPr>
        <w:br w:type="page"/>
      </w:r>
    </w:p>
    <w:p w14:paraId="0935E2A4" w14:textId="73013F47" w:rsidR="00120999" w:rsidRDefault="00B512B6" w:rsidP="00B512B6">
      <w:pPr>
        <w:rPr>
          <w:b/>
          <w:bCs/>
          <w:lang w:val="en-CA"/>
        </w:rPr>
      </w:pPr>
      <w:r>
        <w:rPr>
          <w:b/>
          <w:bCs/>
          <w:lang w:val="en-CA"/>
        </w:rPr>
        <w:lastRenderedPageBreak/>
        <w:t>Figures</w:t>
      </w:r>
    </w:p>
    <w:p w14:paraId="4BABE04E" w14:textId="77777777" w:rsidR="00120999" w:rsidRDefault="00120999">
      <w:pPr>
        <w:rPr>
          <w:b/>
          <w:bCs/>
          <w:lang w:val="en-CA"/>
        </w:rPr>
      </w:pPr>
      <w:r>
        <w:rPr>
          <w:b/>
          <w:bCs/>
          <w:lang w:val="en-CA"/>
        </w:rPr>
        <w:t xml:space="preserve">Figure 1: </w:t>
      </w:r>
      <w:r>
        <w:rPr>
          <w:lang w:val="en-CA"/>
        </w:rPr>
        <w:t>Comparison of three methods for estimating insect abundance</w:t>
      </w:r>
      <w:r>
        <w:rPr>
          <w:b/>
          <w:bCs/>
          <w:lang w:val="en-CA"/>
        </w:rPr>
        <w:t xml:space="preserve"> </w:t>
      </w:r>
    </w:p>
    <w:p w14:paraId="117635FD" w14:textId="77777777" w:rsidR="006B52C0" w:rsidRDefault="00120999">
      <w:pPr>
        <w:rPr>
          <w:lang w:val="en-CA"/>
        </w:rPr>
      </w:pPr>
      <w:r>
        <w:rPr>
          <w:b/>
          <w:bCs/>
          <w:lang w:val="en-CA"/>
        </w:rPr>
        <w:t xml:space="preserve">Figure 2: </w:t>
      </w:r>
      <w:r w:rsidR="006B52C0">
        <w:rPr>
          <w:lang w:val="en-CA"/>
        </w:rPr>
        <w:t>Mark-recapture methods</w:t>
      </w:r>
    </w:p>
    <w:p w14:paraId="59CEA7A3" w14:textId="77777777" w:rsidR="006B52C0" w:rsidRDefault="006B52C0">
      <w:pPr>
        <w:rPr>
          <w:lang w:val="en-CA"/>
        </w:rPr>
      </w:pPr>
      <w:r w:rsidRPr="006B52C0">
        <w:rPr>
          <w:b/>
          <w:bCs/>
          <w:lang w:val="en-CA"/>
        </w:rPr>
        <w:t>Figure</w:t>
      </w:r>
      <w:r w:rsidR="00120999" w:rsidRPr="006B52C0">
        <w:rPr>
          <w:b/>
          <w:bCs/>
          <w:lang w:val="en-CA"/>
        </w:rPr>
        <w:t xml:space="preserve"> </w:t>
      </w:r>
      <w:r>
        <w:rPr>
          <w:b/>
          <w:bCs/>
          <w:lang w:val="en-CA"/>
        </w:rPr>
        <w:t xml:space="preserve">3: </w:t>
      </w:r>
      <w:r>
        <w:rPr>
          <w:lang w:val="en-CA"/>
        </w:rPr>
        <w:t>Field-study results</w:t>
      </w:r>
    </w:p>
    <w:p w14:paraId="5C05D3D4" w14:textId="77777777" w:rsidR="006B52C0" w:rsidRDefault="006B52C0">
      <w:pPr>
        <w:rPr>
          <w:lang w:val="en-CA"/>
        </w:rPr>
      </w:pPr>
      <w:r>
        <w:rPr>
          <w:b/>
          <w:bCs/>
          <w:lang w:val="en-CA"/>
        </w:rPr>
        <w:t xml:space="preserve">Figure 4: </w:t>
      </w:r>
      <w:r>
        <w:rPr>
          <w:lang w:val="en-CA"/>
        </w:rPr>
        <w:t>Bias and precision – ecological variation</w:t>
      </w:r>
    </w:p>
    <w:p w14:paraId="1E8C08EE" w14:textId="77777777" w:rsidR="006B52C0" w:rsidRDefault="006B52C0">
      <w:pPr>
        <w:rPr>
          <w:b/>
          <w:bCs/>
          <w:lang w:val="en-CA"/>
        </w:rPr>
      </w:pPr>
      <w:r>
        <w:rPr>
          <w:b/>
          <w:bCs/>
          <w:lang w:val="en-CA"/>
        </w:rPr>
        <w:t xml:space="preserve">Figure 5: </w:t>
      </w:r>
      <w:r>
        <w:rPr>
          <w:lang w:val="en-CA"/>
        </w:rPr>
        <w:t>Bias and precision – study design variation</w:t>
      </w:r>
      <w:r w:rsidRPr="006B52C0">
        <w:rPr>
          <w:b/>
          <w:bCs/>
          <w:lang w:val="en-CA"/>
        </w:rPr>
        <w:t xml:space="preserve"> </w:t>
      </w:r>
    </w:p>
    <w:p w14:paraId="11E57564" w14:textId="4C6D64D8" w:rsidR="00120999" w:rsidRPr="006B52C0" w:rsidRDefault="006B52C0">
      <w:pPr>
        <w:rPr>
          <w:b/>
          <w:bCs/>
          <w:lang w:val="en-CA"/>
        </w:rPr>
      </w:pPr>
      <w:r>
        <w:rPr>
          <w:b/>
          <w:bCs/>
          <w:lang w:val="en-CA"/>
        </w:rPr>
        <w:t xml:space="preserve">Figure </w:t>
      </w:r>
      <w:r w:rsidR="008D69E9">
        <w:rPr>
          <w:b/>
          <w:bCs/>
          <w:lang w:val="en-CA"/>
        </w:rPr>
        <w:t>6</w:t>
      </w:r>
      <w:r>
        <w:rPr>
          <w:b/>
          <w:bCs/>
          <w:lang w:val="en-CA"/>
        </w:rPr>
        <w:t xml:space="preserve">: </w:t>
      </w:r>
      <w:r>
        <w:rPr>
          <w:lang w:val="en-CA"/>
        </w:rPr>
        <w:t>Bias and precision – closure violatons</w:t>
      </w:r>
      <w:r w:rsidRPr="006B52C0">
        <w:rPr>
          <w:b/>
          <w:bCs/>
          <w:lang w:val="en-CA"/>
        </w:rPr>
        <w:t xml:space="preserve"> </w:t>
      </w:r>
      <w:r w:rsidR="00120999" w:rsidRPr="006B52C0">
        <w:rPr>
          <w:b/>
          <w:bCs/>
          <w:lang w:val="en-CA"/>
        </w:rPr>
        <w:br w:type="page"/>
      </w:r>
    </w:p>
    <w:p w14:paraId="75C9DE97" w14:textId="410E20C5" w:rsidR="00C778AD" w:rsidRDefault="00BE58EE" w:rsidP="00B512B6">
      <w:pPr>
        <w:rPr>
          <w:b/>
          <w:bCs/>
          <w:lang w:val="en-CA"/>
        </w:rPr>
      </w:pPr>
      <w:commentRangeStart w:id="1"/>
      <w:r>
        <w:rPr>
          <w:noProof/>
        </w:rPr>
        <w:lastRenderedPageBreak/>
        <w:drawing>
          <wp:inline distT="0" distB="0" distL="0" distR="0" wp14:anchorId="55C2E047" wp14:editId="5139477B">
            <wp:extent cx="5927101" cy="4171950"/>
            <wp:effectExtent l="0" t="0" r="0" b="0"/>
            <wp:docPr id="382154010" name="Picture 1" descr="A diagram of a butterfl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54010" name="Picture 1" descr="A diagram of a butterfly&#10;&#10;Description automatically generated"/>
                    <pic:cNvPicPr/>
                  </pic:nvPicPr>
                  <pic:blipFill rotWithShape="1">
                    <a:blip r:embed="rId12"/>
                    <a:srcRect l="10043" r="10043"/>
                    <a:stretch/>
                  </pic:blipFill>
                  <pic:spPr bwMode="auto">
                    <a:xfrm>
                      <a:off x="0" y="0"/>
                      <a:ext cx="5933155" cy="4176211"/>
                    </a:xfrm>
                    <a:prstGeom prst="rect">
                      <a:avLst/>
                    </a:prstGeom>
                    <a:ln>
                      <a:noFill/>
                    </a:ln>
                    <a:extLst>
                      <a:ext uri="{53640926-AAD7-44D8-BBD7-CCE9431645EC}">
                        <a14:shadowObscured xmlns:a14="http://schemas.microsoft.com/office/drawing/2010/main"/>
                      </a:ext>
                    </a:extLst>
                  </pic:spPr>
                </pic:pic>
              </a:graphicData>
            </a:graphic>
          </wp:inline>
        </w:drawing>
      </w:r>
      <w:commentRangeEnd w:id="1"/>
      <w:r w:rsidR="00B3215B">
        <w:rPr>
          <w:rStyle w:val="CommentReference"/>
        </w:rPr>
        <w:commentReference w:id="1"/>
      </w:r>
    </w:p>
    <w:p w14:paraId="410792CA" w14:textId="47C26A2B" w:rsidR="00A76FB4" w:rsidRDefault="00BE5A95" w:rsidP="00B512B6">
      <w:pPr>
        <w:rPr>
          <w:lang w:val="en-CA"/>
        </w:rPr>
      </w:pPr>
      <w:r>
        <w:rPr>
          <w:b/>
          <w:bCs/>
          <w:lang w:val="en-CA"/>
        </w:rPr>
        <w:t>Figure</w:t>
      </w:r>
      <w:r w:rsidR="00C778AD">
        <w:rPr>
          <w:b/>
          <w:bCs/>
          <w:lang w:val="en-CA"/>
        </w:rPr>
        <w:t xml:space="preserve"> 1: </w:t>
      </w:r>
      <w:r w:rsidR="00C778AD">
        <w:rPr>
          <w:lang w:val="en-CA"/>
        </w:rPr>
        <w:t>Comparison of three methods for estimating insect abundance</w:t>
      </w:r>
      <w:r w:rsidR="00120999">
        <w:rPr>
          <w:lang w:val="en-CA"/>
        </w:rPr>
        <w:t>.</w:t>
      </w:r>
      <w:r w:rsidR="00C778AD">
        <w:rPr>
          <w:lang w:val="en-CA"/>
        </w:rPr>
        <w:t xml:space="preserve"> GLM’s </w:t>
      </w:r>
      <w:r w:rsidR="00845B02">
        <w:rPr>
          <w:lang w:val="en-CA"/>
        </w:rPr>
        <w:t xml:space="preserve">(column 1) </w:t>
      </w:r>
      <w:r w:rsidR="00C778AD">
        <w:rPr>
          <w:lang w:val="en-CA"/>
        </w:rPr>
        <w:t>estimate the effects of spatiotemporal and taxonomic predictors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C778AD">
        <w:rPr>
          <w:lang w:val="en-CA"/>
        </w:rPr>
        <w:t xml:space="preserve">) on abundance by treating count data </w:t>
      </w:r>
      <w:r w:rsidR="009047C5">
        <w:rPr>
          <w:i/>
          <w:iCs/>
          <w:lang w:val="en-CA"/>
        </w:rPr>
        <w:t>y</w:t>
      </w:r>
      <w:r w:rsidR="009047C5">
        <w:rPr>
          <w:i/>
          <w:iCs/>
          <w:vertAlign w:val="subscript"/>
          <w:lang w:val="en-CA"/>
        </w:rPr>
        <w:t>i</w:t>
      </w:r>
      <w:r w:rsidR="009047C5">
        <w:rPr>
          <w:lang w:val="en-CA"/>
        </w:rPr>
        <w:t xml:space="preserve"> </w:t>
      </w:r>
      <w:r w:rsidR="00C778AD">
        <w:rPr>
          <w:lang w:val="en-CA"/>
        </w:rPr>
        <w:t>as the outcome of a random process that generates positive integers, e.g., a Poisson distribution. GLM’s are unable to disentangle effects of these predictors on abundance from their potential effects on detection rate, e.g.: Habitat obscures detectability; observers improve their detection skills over time; or large</w:t>
      </w:r>
      <w:r w:rsidR="00AC0AD0">
        <w:rPr>
          <w:lang w:val="en-CA"/>
        </w:rPr>
        <w:t>r</w:t>
      </w:r>
      <w:r w:rsidR="00C778AD">
        <w:rPr>
          <w:lang w:val="en-CA"/>
        </w:rPr>
        <w:t xml:space="preserve"> and</w:t>
      </w:r>
      <w:r w:rsidR="009047C5">
        <w:rPr>
          <w:lang w:val="en-CA"/>
        </w:rPr>
        <w:t xml:space="preserve"> more</w:t>
      </w:r>
      <w:r w:rsidR="00C778AD">
        <w:rPr>
          <w:lang w:val="en-CA"/>
        </w:rPr>
        <w:t xml:space="preserve"> colorful species are detected at a higher rate than small</w:t>
      </w:r>
      <w:r w:rsidR="00AC0AD0">
        <w:rPr>
          <w:lang w:val="en-CA"/>
        </w:rPr>
        <w:t>er</w:t>
      </w:r>
      <w:r w:rsidR="00C778AD">
        <w:rPr>
          <w:lang w:val="en-CA"/>
        </w:rPr>
        <w:t xml:space="preserve"> and </w:t>
      </w:r>
      <w:r w:rsidR="00AC0AD0">
        <w:rPr>
          <w:lang w:val="en-CA"/>
        </w:rPr>
        <w:t xml:space="preserve">more </w:t>
      </w:r>
      <w:r w:rsidR="00C778AD">
        <w:rPr>
          <w:lang w:val="en-CA"/>
        </w:rPr>
        <w:t>dull</w:t>
      </w:r>
      <w:r w:rsidR="00AC0AD0">
        <w:rPr>
          <w:lang w:val="en-CA"/>
        </w:rPr>
        <w:t>-colored</w:t>
      </w:r>
      <w:r w:rsidR="00C778AD">
        <w:rPr>
          <w:lang w:val="en-CA"/>
        </w:rPr>
        <w:t xml:space="preserve"> species. Binmix models </w:t>
      </w:r>
      <w:r w:rsidR="00845B02">
        <w:rPr>
          <w:lang w:val="en-CA"/>
        </w:rPr>
        <w:t xml:space="preserve">(column 2) </w:t>
      </w:r>
      <w:r>
        <w:rPr>
          <w:lang w:val="en-CA"/>
        </w:rPr>
        <w:t>leverage the</w:t>
      </w:r>
      <w:r w:rsidR="00C778AD">
        <w:rPr>
          <w:lang w:val="en-CA"/>
        </w:rPr>
        <w:t xml:space="preserve"> variation in counts </w:t>
      </w:r>
      <m:oMath>
        <m:r>
          <w:rPr>
            <w:rFonts w:ascii="Cambria Math" w:eastAsiaTheme="minorEastAsia" w:hAnsi="Cambria Math"/>
            <w:lang w:val="en-CA"/>
          </w:rPr>
          <m:t>y</m:t>
        </m:r>
      </m:oMath>
      <w:r>
        <w:rPr>
          <w:rFonts w:eastAsiaTheme="minorEastAsia"/>
          <w:lang w:val="en-CA"/>
        </w:rPr>
        <w:t xml:space="preserve"> </w:t>
      </w:r>
      <w:r w:rsidR="00C778AD">
        <w:rPr>
          <w:lang w:val="en-CA"/>
        </w:rPr>
        <w:t xml:space="preserve">across repeat surveys </w:t>
      </w:r>
      <m:oMath>
        <m:r>
          <w:rPr>
            <w:rFonts w:ascii="Cambria Math" w:hAnsi="Cambria Math"/>
            <w:lang w:val="en-CA"/>
          </w:rPr>
          <m:t>j</m:t>
        </m:r>
      </m:oMath>
      <w:r w:rsidR="00C778AD">
        <w:rPr>
          <w:i/>
          <w:iCs/>
          <w:lang w:val="en-CA"/>
        </w:rPr>
        <w:t xml:space="preserve"> </w:t>
      </w:r>
      <w:r w:rsidR="00C778AD">
        <w:rPr>
          <w:lang w:val="en-CA"/>
        </w:rPr>
        <w:t>to unit</w:t>
      </w:r>
      <w:r w:rsidR="00626AE9">
        <w:rPr>
          <w:lang w:val="en-CA"/>
        </w:rPr>
        <w:t>s</w:t>
      </w:r>
      <w:r w:rsidR="00C778AD">
        <w:rPr>
          <w:lang w:val="en-CA"/>
        </w:rPr>
        <w:t xml:space="preserve"> </w:t>
      </w:r>
      <m:oMath>
        <m:r>
          <w:rPr>
            <w:rFonts w:ascii="Cambria Math" w:hAnsi="Cambria Math"/>
            <w:lang w:val="en-CA"/>
          </w:rPr>
          <m:t>i</m:t>
        </m:r>
      </m:oMath>
      <w:r>
        <w:rPr>
          <w:lang w:val="en-CA"/>
        </w:rPr>
        <w:t xml:space="preserve"> </w:t>
      </w:r>
      <w:r w:rsidR="00C778AD">
        <w:rPr>
          <w:lang w:val="en-CA"/>
        </w:rPr>
        <w:t xml:space="preserve">to simultaneously estimate detection rate </w:t>
      </w:r>
      <m:oMath>
        <m:r>
          <w:rPr>
            <w:rFonts w:ascii="Cambria Math" w:eastAsiaTheme="minorEastAsia" w:hAnsi="Cambria Math"/>
            <w:lang w:val="en-CA"/>
          </w:rPr>
          <m:t>p</m:t>
        </m:r>
      </m:oMath>
      <w:r w:rsidR="00C778AD">
        <w:rPr>
          <w:i/>
          <w:iCs/>
          <w:lang w:val="en-CA"/>
        </w:rPr>
        <w:t xml:space="preserve"> </w:t>
      </w:r>
      <w:r w:rsidR="00C778AD">
        <w:rPr>
          <w:lang w:val="en-CA"/>
        </w:rPr>
        <w:t>and total abundance</w:t>
      </w:r>
      <w:r>
        <w:rPr>
          <w:lang w:val="en-CA"/>
        </w:rPr>
        <w:t xml:space="preserve"> </w:t>
      </w:r>
      <m:oMath>
        <m:r>
          <w:rPr>
            <w:rFonts w:ascii="Cambria Math" w:hAnsi="Cambria Math"/>
            <w:lang w:val="en-CA"/>
          </w:rPr>
          <m:t>N</m:t>
        </m:r>
      </m:oMath>
      <w:r w:rsidR="00F51152">
        <w:rPr>
          <w:lang w:val="en-CA"/>
        </w:rPr>
        <w:t xml:space="preserve">. </w:t>
      </w:r>
      <w:r w:rsidR="00626AE9">
        <w:rPr>
          <w:lang w:val="en-CA"/>
        </w:rPr>
        <w:t>A</w:t>
      </w:r>
      <w:r w:rsidR="00F51152">
        <w:rPr>
          <w:lang w:val="en-CA"/>
        </w:rPr>
        <w:t xml:space="preserve"> </w:t>
      </w:r>
      <w:r w:rsidR="009047C5">
        <w:rPr>
          <w:lang w:val="en-CA"/>
        </w:rPr>
        <w:t xml:space="preserve">more </w:t>
      </w:r>
      <w:r w:rsidR="00F51152">
        <w:rPr>
          <w:lang w:val="en-CA"/>
        </w:rPr>
        <w:t xml:space="preserve">tightly clustered </w:t>
      </w:r>
      <w:r w:rsidR="009047C5">
        <w:rPr>
          <w:lang w:val="en-CA"/>
        </w:rPr>
        <w:t>right</w:t>
      </w:r>
      <w:r w:rsidR="00F51152">
        <w:rPr>
          <w:lang w:val="en-CA"/>
        </w:rPr>
        <w:t xml:space="preserve">-tailed distribution of repeat counts </w:t>
      </w:r>
      <w:r w:rsidR="00AC0AD0">
        <w:rPr>
          <w:lang w:val="en-CA"/>
        </w:rPr>
        <w:t xml:space="preserve">in Habitat 1 has a high likelihood when detection rate is low (counts heavily underestimate </w:t>
      </w:r>
      <m:oMath>
        <m:r>
          <w:rPr>
            <w:rFonts w:ascii="Cambria Math" w:hAnsi="Cambria Math"/>
            <w:lang w:val="en-CA"/>
          </w:rPr>
          <m:t>N</m:t>
        </m:r>
      </m:oMath>
      <w:r w:rsidR="00AC0AD0">
        <w:rPr>
          <w:lang w:val="en-CA"/>
        </w:rPr>
        <w:t>);</w:t>
      </w:r>
      <w:r w:rsidR="00F51152">
        <w:rPr>
          <w:lang w:val="en-CA"/>
        </w:rPr>
        <w:t xml:space="preserve"> </w:t>
      </w:r>
      <w:r w:rsidR="00AC0AD0">
        <w:rPr>
          <w:lang w:val="en-CA"/>
        </w:rPr>
        <w:t xml:space="preserve">a tightly clustered left-tailed distribution of repeat counts in Habitat 3 has a high likelihood when detection rate is high (counts nearly approximate </w:t>
      </w:r>
      <m:oMath>
        <m:r>
          <w:rPr>
            <w:rFonts w:ascii="Cambria Math" w:hAnsi="Cambria Math"/>
            <w:lang w:val="en-CA"/>
          </w:rPr>
          <m:t>N</m:t>
        </m:r>
      </m:oMath>
      <w:r w:rsidR="00AC0AD0">
        <w:rPr>
          <w:lang w:val="en-CA"/>
        </w:rPr>
        <w:t>); a wider and more symmetrical distribution in</w:t>
      </w:r>
      <w:r w:rsidR="00845B02">
        <w:rPr>
          <w:lang w:val="en-CA"/>
        </w:rPr>
        <w:t xml:space="preserve"> Habitat 1</w:t>
      </w:r>
      <w:r w:rsidR="00AC0AD0">
        <w:rPr>
          <w:lang w:val="en-CA"/>
        </w:rPr>
        <w:t xml:space="preserve"> has a higher likelihood when the detection rate is close intermediate</w:t>
      </w:r>
      <w:r w:rsidR="00F51152">
        <w:rPr>
          <w:lang w:val="en-CA"/>
        </w:rPr>
        <w:t xml:space="preserve">. Multimix models </w:t>
      </w:r>
      <w:r w:rsidR="00845B02">
        <w:rPr>
          <w:lang w:val="en-CA"/>
        </w:rPr>
        <w:t xml:space="preserve">(column 3) </w:t>
      </w:r>
      <w:r w:rsidR="00F51152">
        <w:rPr>
          <w:lang w:val="en-CA"/>
        </w:rPr>
        <w:t xml:space="preserve">classify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sidR="00F75D3B">
        <w:rPr>
          <w:rFonts w:eastAsiaTheme="minorEastAsia"/>
          <w:lang w:val="en-CA"/>
        </w:rPr>
        <w:t xml:space="preserve"> </w:t>
      </w:r>
      <w:r w:rsidR="00F51152">
        <w:rPr>
          <w:lang w:val="en-CA"/>
        </w:rPr>
        <w:t xml:space="preserve">as the number of individuals </w:t>
      </w:r>
      <w:r w:rsidR="009047C5">
        <w:rPr>
          <w:lang w:val="en-CA"/>
        </w:rPr>
        <w:t>in</w:t>
      </w:r>
      <w:r w:rsidR="00F51152">
        <w:rPr>
          <w:lang w:val="en-CA"/>
        </w:rPr>
        <w:t xml:space="preserve"> each observable encounter history, with the total number of individuals detected one or more times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F51152">
        <w:rPr>
          <w:i/>
          <w:iCs/>
          <w:lang w:val="en-CA"/>
        </w:rPr>
        <w:t xml:space="preserve"> </w:t>
      </w:r>
      <w:r w:rsidR="00F51152">
        <w:rPr>
          <w:lang w:val="en-CA"/>
        </w:rPr>
        <w:t>considered to be the outcome of a total population size and the probability of an individual having any of the observable detection histories (1</w:t>
      </w:r>
      <w:r>
        <w:rPr>
          <w:lang w:val="en-CA"/>
        </w:rPr>
        <w:t xml:space="preserve"> </w:t>
      </w:r>
      <w:r w:rsidR="00F51152">
        <w:rPr>
          <w:lang w:val="en-CA"/>
        </w:rPr>
        <w:t>-</w:t>
      </w:r>
      <w:r>
        <w:rPr>
          <w:rFonts w:eastAsiaTheme="minorEastAsia"/>
          <w:lang w:val="en-CA"/>
        </w:rPr>
        <w:t xml:space="preserve"> </w:t>
      </w:r>
      <m:oMath>
        <m:sSub>
          <m:sSubPr>
            <m:ctrlPr>
              <w:rPr>
                <w:rFonts w:ascii="Cambria Math" w:hAnsi="Cambria Math"/>
                <w:i/>
                <w:lang w:val="en-CA"/>
              </w:rPr>
            </m:ctrlPr>
          </m:sSubPr>
          <m:e>
            <m:r>
              <w:rPr>
                <w:rFonts w:ascii="Cambria Math" w:hAnsi="Cambria Math"/>
                <w:lang w:val="en-CA"/>
              </w:rPr>
              <m:t>π</m:t>
            </m:r>
          </m:e>
          <m:sub>
            <m:r>
              <w:rPr>
                <w:rFonts w:ascii="Cambria Math" w:hAnsi="Cambria Math"/>
                <w:lang w:val="en-CA"/>
              </w:rPr>
              <m:t>0</m:t>
            </m:r>
          </m:sub>
        </m:sSub>
      </m:oMath>
      <w:r w:rsidR="00F51152">
        <w:rPr>
          <w:lang w:val="en-CA"/>
        </w:rPr>
        <w:t>)</w:t>
      </w:r>
      <w:r w:rsidR="009047C5">
        <w:rPr>
          <w:lang w:val="en-CA"/>
        </w:rPr>
        <w:t>. In a study with three repeat surveys, the probability of never being captured (</w:t>
      </w:r>
      <m:oMath>
        <m:sSub>
          <m:sSubPr>
            <m:ctrlPr>
              <w:rPr>
                <w:rFonts w:ascii="Cambria Math" w:hAnsi="Cambria Math"/>
                <w:i/>
                <w:lang w:val="en-CA"/>
              </w:rPr>
            </m:ctrlPr>
          </m:sSubPr>
          <m:e>
            <m:r>
              <w:rPr>
                <w:rFonts w:ascii="Cambria Math" w:hAnsi="Cambria Math"/>
                <w:lang w:val="en-CA"/>
              </w:rPr>
              <m:t>π</m:t>
            </m:r>
          </m:e>
          <m:sub>
            <m:r>
              <w:rPr>
                <w:rFonts w:ascii="Cambria Math" w:hAnsi="Cambria Math"/>
                <w:lang w:val="en-CA"/>
              </w:rPr>
              <m:t>0</m:t>
            </m:r>
          </m:sub>
        </m:sSub>
      </m:oMath>
      <w:r w:rsidR="009047C5">
        <w:rPr>
          <w:lang w:val="en-CA"/>
        </w:rPr>
        <w:t>) is equal to (1</w:t>
      </w:r>
      <w:r>
        <w:rPr>
          <w:lang w:val="en-CA"/>
        </w:rPr>
        <w:t xml:space="preserve"> </w:t>
      </w:r>
      <w:r w:rsidR="009047C5">
        <w:rPr>
          <w:lang w:val="en-CA"/>
        </w:rPr>
        <w:t>-</w:t>
      </w:r>
      <w:r w:rsidRPr="00BE5A95">
        <w:rPr>
          <w:rFonts w:ascii="Cambria Math" w:eastAsiaTheme="minorEastAsia" w:hAnsi="Cambria Math"/>
          <w:i/>
          <w:lang w:val="en-CA"/>
        </w:rPr>
        <w:t xml:space="preserve"> </w:t>
      </w:r>
      <m:oMath>
        <m:r>
          <w:rPr>
            <w:rFonts w:ascii="Cambria Math" w:eastAsiaTheme="minorEastAsia" w:hAnsi="Cambria Math"/>
            <w:lang w:val="en-CA"/>
          </w:rPr>
          <m:t>p</m:t>
        </m:r>
      </m:oMath>
      <w:r w:rsidR="009047C5">
        <w:rPr>
          <w:lang w:val="en-CA"/>
        </w:rPr>
        <w:t>)</w:t>
      </w:r>
      <w:r w:rsidR="009047C5">
        <w:rPr>
          <w:vertAlign w:val="superscript"/>
          <w:lang w:val="en-CA"/>
        </w:rPr>
        <w:t>3</w:t>
      </w:r>
      <w:r w:rsidR="00F51152">
        <w:rPr>
          <w:lang w:val="en-CA"/>
        </w:rPr>
        <w:t>. Encounter histories are typically tracked by placing marks on individual insect</w:t>
      </w:r>
      <w:r w:rsidR="00F75D3B">
        <w:rPr>
          <w:lang w:val="en-CA"/>
        </w:rPr>
        <w:t>s</w:t>
      </w:r>
      <w:r w:rsidR="00F51152">
        <w:rPr>
          <w:lang w:val="en-CA"/>
        </w:rPr>
        <w:t xml:space="preserve">. Encounter histories that skew towards infrequent detection in Habitat 2 suggest that there </w:t>
      </w:r>
      <w:r w:rsidR="00F75D3B">
        <w:rPr>
          <w:lang w:val="en-CA"/>
        </w:rPr>
        <w:t xml:space="preserve">is a high probability of failing to detect </w:t>
      </w:r>
      <w:r w:rsidR="00F51152">
        <w:rPr>
          <w:lang w:val="en-CA"/>
        </w:rPr>
        <w:t xml:space="preserve">individuals </w:t>
      </w:r>
      <w:r w:rsidR="00F75D3B">
        <w:rPr>
          <w:lang w:val="en-CA"/>
        </w:rPr>
        <w:t>across all repeat surveys</w:t>
      </w:r>
      <w:r w:rsidR="00F51152">
        <w:rPr>
          <w:lang w:val="en-CA"/>
        </w:rPr>
        <w:t xml:space="preserve">, i.e., that </w:t>
      </w:r>
      <m:oMath>
        <m:sSub>
          <m:sSubPr>
            <m:ctrlPr>
              <w:rPr>
                <w:rFonts w:ascii="Cambria Math" w:hAnsi="Cambria Math"/>
                <w:i/>
                <w:lang w:val="en-CA"/>
              </w:rPr>
            </m:ctrlPr>
          </m:sSubPr>
          <m:e>
            <m:r>
              <w:rPr>
                <w:rFonts w:ascii="Cambria Math" w:hAnsi="Cambria Math"/>
                <w:lang w:val="en-CA"/>
              </w:rPr>
              <m:t>π</m:t>
            </m:r>
          </m:e>
          <m:sub>
            <m:r>
              <w:rPr>
                <w:rFonts w:ascii="Cambria Math" w:hAnsi="Cambria Math"/>
                <w:lang w:val="en-CA"/>
              </w:rPr>
              <m:t>0</m:t>
            </m:r>
          </m:sub>
        </m:sSub>
      </m:oMath>
      <w:r w:rsidR="00F51152">
        <w:rPr>
          <w:lang w:val="en-CA"/>
        </w:rPr>
        <w:t xml:space="preserve"> is </w:t>
      </w:r>
      <w:r w:rsidR="00F75D3B">
        <w:rPr>
          <w:lang w:val="en-CA"/>
        </w:rPr>
        <w:t>greater</w:t>
      </w:r>
      <w:r w:rsidR="00F51152">
        <w:rPr>
          <w:lang w:val="en-CA"/>
        </w:rPr>
        <w:t xml:space="preserve"> in Habitat 2 versus Habitat 1 and, correspondingly, that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F51152">
        <w:rPr>
          <w:lang w:val="en-CA"/>
        </w:rPr>
        <w:t xml:space="preserve"> is </w:t>
      </w:r>
      <w:r w:rsidR="00A76FB4">
        <w:rPr>
          <w:lang w:val="en-CA"/>
        </w:rPr>
        <w:t xml:space="preserve">a smaller proportion of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F51152">
        <w:rPr>
          <w:lang w:val="en-CA"/>
        </w:rPr>
        <w:t>.</w:t>
      </w:r>
    </w:p>
    <w:p w14:paraId="250A6DCD" w14:textId="5B590129" w:rsidR="007A4BD1" w:rsidRDefault="007A4BD1" w:rsidP="00B512B6">
      <w:pPr>
        <w:rPr>
          <w:b/>
          <w:bCs/>
          <w:lang w:val="en-CA"/>
        </w:rPr>
      </w:pPr>
      <w:r>
        <w:rPr>
          <w:b/>
          <w:bCs/>
          <w:lang w:val="en-CA"/>
        </w:rPr>
        <w:lastRenderedPageBreak/>
        <w:t>Insert fig with marking stuff.</w:t>
      </w:r>
    </w:p>
    <w:p w14:paraId="2EAE4B66" w14:textId="49F70869" w:rsidR="007A4BD1" w:rsidRDefault="007A4BD1" w:rsidP="00B512B6">
      <w:pPr>
        <w:rPr>
          <w:lang w:val="en-CA"/>
        </w:rPr>
      </w:pPr>
      <w:r>
        <w:rPr>
          <w:b/>
          <w:bCs/>
          <w:lang w:val="en-CA"/>
        </w:rPr>
        <w:t xml:space="preserve">Figure 2: </w:t>
      </w:r>
      <w:r>
        <w:rPr>
          <w:lang w:val="en-CA"/>
        </w:rPr>
        <w:t>Mark-recapture methods</w:t>
      </w:r>
    </w:p>
    <w:p w14:paraId="47F9ECC3" w14:textId="7EF2F6E7" w:rsidR="007A4BD1" w:rsidRDefault="007A4BD1" w:rsidP="00B512B6">
      <w:pPr>
        <w:rPr>
          <w:lang w:val="en-CA"/>
        </w:rPr>
      </w:pPr>
      <w:r>
        <w:rPr>
          <w:lang w:val="en-CA"/>
        </w:rPr>
        <w:br w:type="page"/>
      </w:r>
    </w:p>
    <w:p w14:paraId="734464CC" w14:textId="0CB8E1BC" w:rsidR="00B512B6" w:rsidRPr="00A76FB4" w:rsidRDefault="00B512B6" w:rsidP="00B512B6">
      <w:pPr>
        <w:rPr>
          <w:lang w:val="en-CA"/>
        </w:rPr>
      </w:pPr>
      <w:r>
        <w:rPr>
          <w:noProof/>
        </w:rPr>
        <w:lastRenderedPageBreak/>
        <w:drawing>
          <wp:inline distT="0" distB="0" distL="0" distR="0" wp14:anchorId="0B5EC567" wp14:editId="4DC7BB03">
            <wp:extent cx="5943600" cy="2444750"/>
            <wp:effectExtent l="0" t="0" r="0" b="0"/>
            <wp:docPr id="13498370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37059" name="Picture 1" descr="A screenshot of a computer&#10;&#10;Description automatically generated"/>
                    <pic:cNvPicPr/>
                  </pic:nvPicPr>
                  <pic:blipFill rotWithShape="1">
                    <a:blip r:embed="rId13"/>
                    <a:srcRect t="13485" b="13390"/>
                    <a:stretch/>
                  </pic:blipFill>
                  <pic:spPr bwMode="auto">
                    <a:xfrm>
                      <a:off x="0" y="0"/>
                      <a:ext cx="5943600" cy="2444750"/>
                    </a:xfrm>
                    <a:prstGeom prst="rect">
                      <a:avLst/>
                    </a:prstGeom>
                    <a:ln>
                      <a:noFill/>
                    </a:ln>
                    <a:extLst>
                      <a:ext uri="{53640926-AAD7-44D8-BBD7-CCE9431645EC}">
                        <a14:shadowObscured xmlns:a14="http://schemas.microsoft.com/office/drawing/2010/main"/>
                      </a:ext>
                    </a:extLst>
                  </pic:spPr>
                </pic:pic>
              </a:graphicData>
            </a:graphic>
          </wp:inline>
        </w:drawing>
      </w:r>
    </w:p>
    <w:p w14:paraId="21DBE14B" w14:textId="6DE55CDD" w:rsidR="00B512B6" w:rsidRDefault="00B512B6" w:rsidP="00B512B6">
      <w:pPr>
        <w:rPr>
          <w:b/>
          <w:bCs/>
          <w:lang w:val="en-CA"/>
        </w:rPr>
      </w:pPr>
      <w:r>
        <w:rPr>
          <w:b/>
          <w:bCs/>
          <w:lang w:val="en-CA"/>
        </w:rPr>
        <w:t xml:space="preserve">Figure </w:t>
      </w:r>
      <w:r w:rsidR="008D69E9">
        <w:rPr>
          <w:b/>
          <w:bCs/>
          <w:lang w:val="en-CA"/>
        </w:rPr>
        <w:t>4</w:t>
      </w:r>
      <w:r>
        <w:rPr>
          <w:b/>
          <w:bCs/>
          <w:lang w:val="en-CA"/>
        </w:rPr>
        <w:t xml:space="preserve">A: </w:t>
      </w:r>
    </w:p>
    <w:p w14:paraId="10362BAA" w14:textId="77777777" w:rsidR="00B512B6" w:rsidRPr="008C4499" w:rsidRDefault="00B512B6" w:rsidP="008C4499">
      <w:pPr>
        <w:rPr>
          <w:lang w:val="en-CA"/>
        </w:rPr>
      </w:pPr>
    </w:p>
    <w:sectPr w:rsidR="00B512B6" w:rsidRPr="008C449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Ulrich, Jens" w:date="2024-12-10T11:43:00Z" w:initials="JU">
    <w:p w14:paraId="455258CA" w14:textId="77777777" w:rsidR="007A4BD1" w:rsidRDefault="007A4BD1" w:rsidP="007A4BD1">
      <w:pPr>
        <w:pStyle w:val="CommentText"/>
      </w:pPr>
      <w:r>
        <w:rPr>
          <w:rStyle w:val="CommentReference"/>
        </w:rPr>
        <w:annotationRef/>
      </w:r>
      <w:r>
        <w:rPr>
          <w:lang w:val="en-CA"/>
        </w:rPr>
        <w:t>Describe data prep and models. And then in the simulation can just say that we reapplied the models (w/ poisson versions for poisson simmed data)</w:t>
      </w:r>
    </w:p>
  </w:comment>
  <w:comment w:id="1" w:author="Jens Ulrich" w:date="2024-12-10T10:42:00Z" w:initials="JU">
    <w:p w14:paraId="76F750A9" w14:textId="1E2BADD7" w:rsidR="00B3215B" w:rsidRDefault="00B3215B" w:rsidP="00B3215B">
      <w:pPr>
        <w:pStyle w:val="CommentText"/>
      </w:pPr>
      <w:r>
        <w:rPr>
          <w:rStyle w:val="CommentReference"/>
        </w:rPr>
        <w:annotationRef/>
      </w:r>
      <w:r>
        <w:rPr>
          <w:lang w:val="en-CA"/>
        </w:rPr>
        <w:t>Should make the failed detections in the multimix red so the diverging paths are more clear. Should also center the “habitat 1 and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55258CA" w15:done="0"/>
  <w15:commentEx w15:paraId="76F750A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6BFBA67" w16cex:dateUtc="2024-12-10T19:43:00Z"/>
  <w16cex:commentExtensible w16cex:durableId="4194EA3C" w16cex:dateUtc="2024-12-10T18: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55258CA" w16cid:durableId="26BFBA67"/>
  <w16cid:commentId w16cid:paraId="76F750A9" w16cid:durableId="4194EA3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C758B9" w14:textId="77777777" w:rsidR="00D82908" w:rsidRDefault="00D82908" w:rsidP="00625570">
      <w:pPr>
        <w:spacing w:after="0" w:line="240" w:lineRule="auto"/>
      </w:pPr>
      <w:r>
        <w:separator/>
      </w:r>
    </w:p>
  </w:endnote>
  <w:endnote w:type="continuationSeparator" w:id="0">
    <w:p w14:paraId="0686D597" w14:textId="77777777" w:rsidR="00D82908" w:rsidRDefault="00D82908" w:rsidP="00625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3AFDD9" w14:textId="77777777" w:rsidR="00D82908" w:rsidRDefault="00D82908" w:rsidP="00625570">
      <w:pPr>
        <w:spacing w:after="0" w:line="240" w:lineRule="auto"/>
      </w:pPr>
      <w:r>
        <w:separator/>
      </w:r>
    </w:p>
  </w:footnote>
  <w:footnote w:type="continuationSeparator" w:id="0">
    <w:p w14:paraId="2A9A9606" w14:textId="77777777" w:rsidR="00D82908" w:rsidRDefault="00D82908" w:rsidP="00625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5482F47"/>
    <w:multiLevelType w:val="hybridMultilevel"/>
    <w:tmpl w:val="FBB04BAE"/>
    <w:lvl w:ilvl="0" w:tplc="8A7C460E">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9619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Ulrich, Jens">
    <w15:presenceInfo w15:providerId="AD" w15:userId="S::jens.johnson@ubc.ca::1d972ffb-7a27-4f01-82ee-6bfead15c41b"/>
  </w15:person>
  <w15:person w15:author="Jens Ulrich">
    <w15:presenceInfo w15:providerId="AD" w15:userId="S::jens.johnson@ubc.ca::1d972ffb-7a27-4f01-82ee-6bfead15c41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B08B6"/>
    <w:rsid w:val="00003CEA"/>
    <w:rsid w:val="0004132B"/>
    <w:rsid w:val="00057C24"/>
    <w:rsid w:val="00066428"/>
    <w:rsid w:val="000973E2"/>
    <w:rsid w:val="000D0274"/>
    <w:rsid w:val="000E123C"/>
    <w:rsid w:val="000F4CA3"/>
    <w:rsid w:val="000F5801"/>
    <w:rsid w:val="00120999"/>
    <w:rsid w:val="00145AD5"/>
    <w:rsid w:val="00147AC8"/>
    <w:rsid w:val="00162913"/>
    <w:rsid w:val="00163E2E"/>
    <w:rsid w:val="001A091E"/>
    <w:rsid w:val="001B4B31"/>
    <w:rsid w:val="001D0191"/>
    <w:rsid w:val="00224972"/>
    <w:rsid w:val="00250A39"/>
    <w:rsid w:val="00272947"/>
    <w:rsid w:val="0029209D"/>
    <w:rsid w:val="002B08B6"/>
    <w:rsid w:val="002B1345"/>
    <w:rsid w:val="002D52CB"/>
    <w:rsid w:val="002F5BEA"/>
    <w:rsid w:val="003057A7"/>
    <w:rsid w:val="00321EE8"/>
    <w:rsid w:val="003459A4"/>
    <w:rsid w:val="00347802"/>
    <w:rsid w:val="00363221"/>
    <w:rsid w:val="00387939"/>
    <w:rsid w:val="00392543"/>
    <w:rsid w:val="003A51C3"/>
    <w:rsid w:val="003B648D"/>
    <w:rsid w:val="003C4D2B"/>
    <w:rsid w:val="003E77CC"/>
    <w:rsid w:val="00433FDA"/>
    <w:rsid w:val="00437C2E"/>
    <w:rsid w:val="00474548"/>
    <w:rsid w:val="00495E45"/>
    <w:rsid w:val="004B283D"/>
    <w:rsid w:val="004C5BB9"/>
    <w:rsid w:val="00500D2A"/>
    <w:rsid w:val="00504CC9"/>
    <w:rsid w:val="005368D3"/>
    <w:rsid w:val="005369C5"/>
    <w:rsid w:val="00544EB6"/>
    <w:rsid w:val="00560A7D"/>
    <w:rsid w:val="0060326F"/>
    <w:rsid w:val="006211B6"/>
    <w:rsid w:val="00625570"/>
    <w:rsid w:val="0062636E"/>
    <w:rsid w:val="00626AE9"/>
    <w:rsid w:val="006418B5"/>
    <w:rsid w:val="00685B0A"/>
    <w:rsid w:val="00691AED"/>
    <w:rsid w:val="006939E3"/>
    <w:rsid w:val="006B52C0"/>
    <w:rsid w:val="006D54EB"/>
    <w:rsid w:val="007106E1"/>
    <w:rsid w:val="007149AB"/>
    <w:rsid w:val="00740670"/>
    <w:rsid w:val="0075441E"/>
    <w:rsid w:val="00781EB2"/>
    <w:rsid w:val="007A23D3"/>
    <w:rsid w:val="007A4BD1"/>
    <w:rsid w:val="007B31D8"/>
    <w:rsid w:val="007D22C8"/>
    <w:rsid w:val="00804766"/>
    <w:rsid w:val="00843831"/>
    <w:rsid w:val="00845B02"/>
    <w:rsid w:val="00857206"/>
    <w:rsid w:val="00887C3E"/>
    <w:rsid w:val="008A4AE3"/>
    <w:rsid w:val="008C4499"/>
    <w:rsid w:val="008D15F0"/>
    <w:rsid w:val="008D31CE"/>
    <w:rsid w:val="008D69E9"/>
    <w:rsid w:val="009047C5"/>
    <w:rsid w:val="00927703"/>
    <w:rsid w:val="0096384D"/>
    <w:rsid w:val="00985F89"/>
    <w:rsid w:val="009A7307"/>
    <w:rsid w:val="00A3622D"/>
    <w:rsid w:val="00A51A47"/>
    <w:rsid w:val="00A76FB4"/>
    <w:rsid w:val="00AC0AD0"/>
    <w:rsid w:val="00AC580E"/>
    <w:rsid w:val="00AE30B4"/>
    <w:rsid w:val="00B20B5B"/>
    <w:rsid w:val="00B3215B"/>
    <w:rsid w:val="00B33FC4"/>
    <w:rsid w:val="00B43DF1"/>
    <w:rsid w:val="00B512B6"/>
    <w:rsid w:val="00B53C04"/>
    <w:rsid w:val="00B77D8E"/>
    <w:rsid w:val="00B9052B"/>
    <w:rsid w:val="00BE083F"/>
    <w:rsid w:val="00BE58EE"/>
    <w:rsid w:val="00BE5A95"/>
    <w:rsid w:val="00BF7474"/>
    <w:rsid w:val="00C508B4"/>
    <w:rsid w:val="00C778AD"/>
    <w:rsid w:val="00C95246"/>
    <w:rsid w:val="00CE56D5"/>
    <w:rsid w:val="00D50519"/>
    <w:rsid w:val="00D54DFE"/>
    <w:rsid w:val="00D71B30"/>
    <w:rsid w:val="00D82908"/>
    <w:rsid w:val="00DA12F4"/>
    <w:rsid w:val="00DC1FC4"/>
    <w:rsid w:val="00DF3AA7"/>
    <w:rsid w:val="00E758D4"/>
    <w:rsid w:val="00EB0575"/>
    <w:rsid w:val="00EE5BA8"/>
    <w:rsid w:val="00F31897"/>
    <w:rsid w:val="00F51152"/>
    <w:rsid w:val="00F52316"/>
    <w:rsid w:val="00F75270"/>
    <w:rsid w:val="00F75794"/>
    <w:rsid w:val="00F75D3B"/>
    <w:rsid w:val="00F77580"/>
    <w:rsid w:val="00FE48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690C2C"/>
  <w15:docId w15:val="{58CE64FC-8FE8-4BEC-A280-44065BA78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08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08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08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08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08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08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8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8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8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8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08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8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8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8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8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8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8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8B6"/>
    <w:rPr>
      <w:rFonts w:eastAsiaTheme="majorEastAsia" w:cstheme="majorBidi"/>
      <w:color w:val="272727" w:themeColor="text1" w:themeTint="D8"/>
    </w:rPr>
  </w:style>
  <w:style w:type="paragraph" w:styleId="Title">
    <w:name w:val="Title"/>
    <w:basedOn w:val="Normal"/>
    <w:next w:val="Normal"/>
    <w:link w:val="TitleChar"/>
    <w:uiPriority w:val="10"/>
    <w:qFormat/>
    <w:rsid w:val="002B08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8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8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8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8B6"/>
    <w:pPr>
      <w:spacing w:before="160"/>
      <w:jc w:val="center"/>
    </w:pPr>
    <w:rPr>
      <w:i/>
      <w:iCs/>
      <w:color w:val="404040" w:themeColor="text1" w:themeTint="BF"/>
    </w:rPr>
  </w:style>
  <w:style w:type="character" w:customStyle="1" w:styleId="QuoteChar">
    <w:name w:val="Quote Char"/>
    <w:basedOn w:val="DefaultParagraphFont"/>
    <w:link w:val="Quote"/>
    <w:uiPriority w:val="29"/>
    <w:rsid w:val="002B08B6"/>
    <w:rPr>
      <w:i/>
      <w:iCs/>
      <w:color w:val="404040" w:themeColor="text1" w:themeTint="BF"/>
    </w:rPr>
  </w:style>
  <w:style w:type="paragraph" w:styleId="ListParagraph">
    <w:name w:val="List Paragraph"/>
    <w:basedOn w:val="Normal"/>
    <w:uiPriority w:val="34"/>
    <w:qFormat/>
    <w:rsid w:val="002B08B6"/>
    <w:pPr>
      <w:ind w:left="720"/>
      <w:contextualSpacing/>
    </w:pPr>
  </w:style>
  <w:style w:type="character" w:styleId="IntenseEmphasis">
    <w:name w:val="Intense Emphasis"/>
    <w:basedOn w:val="DefaultParagraphFont"/>
    <w:uiPriority w:val="21"/>
    <w:qFormat/>
    <w:rsid w:val="002B08B6"/>
    <w:rPr>
      <w:i/>
      <w:iCs/>
      <w:color w:val="0F4761" w:themeColor="accent1" w:themeShade="BF"/>
    </w:rPr>
  </w:style>
  <w:style w:type="paragraph" w:styleId="IntenseQuote">
    <w:name w:val="Intense Quote"/>
    <w:basedOn w:val="Normal"/>
    <w:next w:val="Normal"/>
    <w:link w:val="IntenseQuoteChar"/>
    <w:uiPriority w:val="30"/>
    <w:qFormat/>
    <w:rsid w:val="002B08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08B6"/>
    <w:rPr>
      <w:i/>
      <w:iCs/>
      <w:color w:val="0F4761" w:themeColor="accent1" w:themeShade="BF"/>
    </w:rPr>
  </w:style>
  <w:style w:type="character" w:styleId="IntenseReference">
    <w:name w:val="Intense Reference"/>
    <w:basedOn w:val="DefaultParagraphFont"/>
    <w:uiPriority w:val="32"/>
    <w:qFormat/>
    <w:rsid w:val="002B08B6"/>
    <w:rPr>
      <w:b/>
      <w:bCs/>
      <w:smallCaps/>
      <w:color w:val="0F4761" w:themeColor="accent1" w:themeShade="BF"/>
      <w:spacing w:val="5"/>
    </w:rPr>
  </w:style>
  <w:style w:type="character" w:styleId="CommentReference">
    <w:name w:val="annotation reference"/>
    <w:basedOn w:val="DefaultParagraphFont"/>
    <w:uiPriority w:val="99"/>
    <w:semiHidden/>
    <w:unhideWhenUsed/>
    <w:rsid w:val="00437C2E"/>
    <w:rPr>
      <w:sz w:val="16"/>
      <w:szCs w:val="16"/>
    </w:rPr>
  </w:style>
  <w:style w:type="paragraph" w:styleId="CommentText">
    <w:name w:val="annotation text"/>
    <w:basedOn w:val="Normal"/>
    <w:link w:val="CommentTextChar"/>
    <w:uiPriority w:val="99"/>
    <w:unhideWhenUsed/>
    <w:rsid w:val="00437C2E"/>
    <w:pPr>
      <w:spacing w:line="240" w:lineRule="auto"/>
    </w:pPr>
    <w:rPr>
      <w:sz w:val="20"/>
      <w:szCs w:val="20"/>
    </w:rPr>
  </w:style>
  <w:style w:type="character" w:customStyle="1" w:styleId="CommentTextChar">
    <w:name w:val="Comment Text Char"/>
    <w:basedOn w:val="DefaultParagraphFont"/>
    <w:link w:val="CommentText"/>
    <w:uiPriority w:val="99"/>
    <w:rsid w:val="00437C2E"/>
    <w:rPr>
      <w:sz w:val="20"/>
      <w:szCs w:val="20"/>
    </w:rPr>
  </w:style>
  <w:style w:type="paragraph" w:styleId="CommentSubject">
    <w:name w:val="annotation subject"/>
    <w:basedOn w:val="CommentText"/>
    <w:next w:val="CommentText"/>
    <w:link w:val="CommentSubjectChar"/>
    <w:uiPriority w:val="99"/>
    <w:semiHidden/>
    <w:unhideWhenUsed/>
    <w:rsid w:val="00437C2E"/>
    <w:rPr>
      <w:b/>
      <w:bCs/>
    </w:rPr>
  </w:style>
  <w:style w:type="character" w:customStyle="1" w:styleId="CommentSubjectChar">
    <w:name w:val="Comment Subject Char"/>
    <w:basedOn w:val="CommentTextChar"/>
    <w:link w:val="CommentSubject"/>
    <w:uiPriority w:val="99"/>
    <w:semiHidden/>
    <w:rsid w:val="00437C2E"/>
    <w:rPr>
      <w:b/>
      <w:bCs/>
      <w:sz w:val="20"/>
      <w:szCs w:val="20"/>
    </w:rPr>
  </w:style>
  <w:style w:type="paragraph" w:styleId="Header">
    <w:name w:val="header"/>
    <w:basedOn w:val="Normal"/>
    <w:link w:val="HeaderChar"/>
    <w:uiPriority w:val="99"/>
    <w:unhideWhenUsed/>
    <w:rsid w:val="006255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5570"/>
  </w:style>
  <w:style w:type="paragraph" w:styleId="Footer">
    <w:name w:val="footer"/>
    <w:basedOn w:val="Normal"/>
    <w:link w:val="FooterChar"/>
    <w:uiPriority w:val="99"/>
    <w:unhideWhenUsed/>
    <w:rsid w:val="006255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5570"/>
  </w:style>
  <w:style w:type="character" w:styleId="PlaceholderText">
    <w:name w:val="Placeholder Text"/>
    <w:basedOn w:val="DefaultParagraphFont"/>
    <w:uiPriority w:val="99"/>
    <w:semiHidden/>
    <w:rsid w:val="00F75D3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CB8F844-3761-486E-930F-5334488789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10126</TotalTime>
  <Pages>16</Pages>
  <Words>9907</Words>
  <Characters>56471</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Ulrich, Jens</dc:creator>
  <cp:keywords/>
  <dc:description/>
  <cp:lastModifiedBy>Ulrich, Jens</cp:lastModifiedBy>
  <cp:revision>2</cp:revision>
  <dcterms:created xsi:type="dcterms:W3CDTF">2024-11-12T22:10:00Z</dcterms:created>
  <dcterms:modified xsi:type="dcterms:W3CDTF">2024-12-12T00:06:00Z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ee96d718-2072-390f-aa30-7eb3cbe61517</vt:lpwstr>
  </property>
  <property fmtid="{D5CDD505-2E9C-101B-9397-08002B2CF9AE}" pid="24" name="Mendeley Citation Style_1">
    <vt:lpwstr>http://www.zotero.org/styles/chicago-author-date</vt:lpwstr>
  </property>
</Properties>
</file>