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52071" w14:textId="77777777" w:rsidR="00240DF3" w:rsidRDefault="00857159">
      <w:pPr>
        <w:pStyle w:val="a3"/>
      </w:pPr>
      <w:r>
        <w:rPr>
          <w:rFonts w:eastAsia="宋体"/>
          <w:sz w:val="24"/>
          <w:szCs w:val="24"/>
        </w:rPr>
        <w:t>第五章</w:t>
      </w:r>
      <w:r>
        <w:rPr>
          <w:rFonts w:eastAsia="宋体"/>
          <w:sz w:val="24"/>
          <w:szCs w:val="24"/>
        </w:rPr>
        <w:t xml:space="preserve"> </w:t>
      </w:r>
      <w:r>
        <w:rPr>
          <w:rFonts w:eastAsia="宋体"/>
          <w:sz w:val="24"/>
          <w:szCs w:val="24"/>
        </w:rPr>
        <w:t>结果与讨论</w:t>
      </w:r>
    </w:p>
    <w:p w14:paraId="5DBA418D" w14:textId="77777777" w:rsidR="00240DF3" w:rsidRDefault="00857159">
      <w:r>
        <w:t>本章在前文方法论的基础上，对基于多智能体协同的联邦学习训练进行系统化的结果报告与讨论。为保证比较结论具有可解释性，本文将其与集中式梯度提升树、集中式多层感知机以及固定权重联邦训练基线放在统一的数据与特征处理口径下进行对照。全部实验均基于清洗后的六百八十八条有效样本展开，其中训练集、验证集和测试集分别为五百五十条、六十八条和七十条；联邦场景包含三个客户端，其本地训练样本量分别为一百四十八条、一百五十条和一百四十条。由此，本章的差异主要来自训练机制与聚合方式，而不是数据划分口径差异。</w:t>
      </w:r>
    </w:p>
    <w:p w14:paraId="4D71A865" w14:textId="77777777" w:rsidR="00240DF3" w:rsidRDefault="00857159">
      <w:pPr>
        <w:pStyle w:val="1"/>
      </w:pPr>
      <w:bookmarkStart w:id="0" w:name="_Hlk225210190"/>
      <w:r>
        <w:rPr>
          <w:rFonts w:eastAsia="宋体"/>
          <w:sz w:val="24"/>
          <w:szCs w:val="24"/>
        </w:rPr>
        <w:t xml:space="preserve">5.1 </w:t>
      </w:r>
      <w:r>
        <w:rPr>
          <w:rFonts w:eastAsia="宋体"/>
          <w:sz w:val="24"/>
          <w:szCs w:val="24"/>
        </w:rPr>
        <w:t>总体结果比较</w:t>
      </w:r>
    </w:p>
    <w:bookmarkEnd w:id="0"/>
    <w:p w14:paraId="1C56134B" w14:textId="77777777" w:rsidR="00240DF3" w:rsidRDefault="00857159">
      <w:r>
        <w:t>图</w:t>
      </w:r>
      <w:r>
        <w:t>5</w:t>
      </w:r>
      <w:r>
        <w:t>-1</w:t>
      </w:r>
      <w:r>
        <w:t>和表</w:t>
      </w:r>
      <w:r>
        <w:t>5-1</w:t>
      </w:r>
      <w:r>
        <w:t>展示了四类方法在测试集上的总体表现。以平均绝对百分比误差作为主评价指标时，基于多智能体协同的联邦学习训练取得了</w:t>
      </w:r>
      <w:r>
        <w:t>42.01%</w:t>
      </w:r>
      <w:r>
        <w:t>的结果，略优于固定权重联邦训练基线的</w:t>
      </w:r>
      <w:r>
        <w:t>42.06%</w:t>
      </w:r>
      <w:r>
        <w:t>，绝对差值为</w:t>
      </w:r>
      <w:r>
        <w:t>0.05</w:t>
      </w:r>
      <w:r>
        <w:t>个百分点，相对改善幅度为</w:t>
      </w:r>
      <w:r>
        <w:t>0.11%</w:t>
      </w:r>
      <w:r>
        <w:t>。这一提升幅度并不大，说明在统一二十轮训练设置下，两类联邦方案已经较为接近；但其改进方向是稳定一致的，因为均方根误差、平均绝对误差、平均百分比误差和决定系数也都较固定权重联邦训练基线略有改善。与此同时，该方法相较集中式多层感知机和集中式梯度提升树的相对改善幅度分别达到</w:t>
      </w:r>
      <w:r>
        <w:t>16.</w:t>
      </w:r>
      <w:r>
        <w:t>93%</w:t>
      </w:r>
      <w:r>
        <w:t>和</w:t>
      </w:r>
      <w:r>
        <w:t>34.69%</w:t>
      </w:r>
      <w:r>
        <w:t>，说明在当前工程造价预测任务中，联邦建模框架本身仍然具有明显优势。</w:t>
      </w:r>
    </w:p>
    <w:p w14:paraId="2D2EED9A" w14:textId="77777777" w:rsidR="00240DF3" w:rsidRDefault="00857159">
      <w:pPr>
        <w:pStyle w:val="a4"/>
      </w:pPr>
      <w:r>
        <w:rPr>
          <w:sz w:val="24"/>
          <w:szCs w:val="24"/>
        </w:rPr>
        <w:t>表</w:t>
      </w:r>
      <w:r>
        <w:rPr>
          <w:sz w:val="24"/>
          <w:szCs w:val="24"/>
        </w:rPr>
        <w:t xml:space="preserve">5-1  </w:t>
      </w:r>
      <w:r>
        <w:rPr>
          <w:sz w:val="24"/>
          <w:szCs w:val="24"/>
        </w:rPr>
        <w:t>主要方法在测试集上的结果比较</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321"/>
        <w:gridCol w:w="1452"/>
        <w:gridCol w:w="1510"/>
        <w:gridCol w:w="1510"/>
        <w:gridCol w:w="1452"/>
        <w:gridCol w:w="1431"/>
      </w:tblGrid>
      <w:tr w:rsidR="00240DF3" w14:paraId="255C0B80" w14:textId="77777777">
        <w:tblPrEx>
          <w:tblCellMar>
            <w:top w:w="0" w:type="dxa"/>
            <w:bottom w:w="0" w:type="dxa"/>
          </w:tblCellMar>
        </w:tblPrEx>
        <w:tc>
          <w:tcPr>
            <w:tcW w:w="1700" w:type="dxa"/>
          </w:tcPr>
          <w:p w14:paraId="7C5E001D" w14:textId="77777777" w:rsidR="00240DF3" w:rsidRDefault="00857159">
            <w:pPr>
              <w:jc w:val="center"/>
            </w:pPr>
            <w:r>
              <w:rPr>
                <w:b/>
              </w:rPr>
              <w:t>方法</w:t>
            </w:r>
          </w:p>
        </w:tc>
        <w:tc>
          <w:tcPr>
            <w:tcW w:w="1700" w:type="dxa"/>
          </w:tcPr>
          <w:p w14:paraId="3D374A34" w14:textId="77777777" w:rsidR="00240DF3" w:rsidRDefault="00857159">
            <w:pPr>
              <w:jc w:val="center"/>
            </w:pPr>
            <w:r>
              <w:rPr>
                <w:b/>
              </w:rPr>
              <w:t>平均绝对百分比误差</w:t>
            </w:r>
          </w:p>
        </w:tc>
        <w:tc>
          <w:tcPr>
            <w:tcW w:w="1700" w:type="dxa"/>
          </w:tcPr>
          <w:p w14:paraId="0D267580" w14:textId="77777777" w:rsidR="00240DF3" w:rsidRDefault="00857159">
            <w:pPr>
              <w:jc w:val="center"/>
            </w:pPr>
            <w:r>
              <w:rPr>
                <w:b/>
              </w:rPr>
              <w:t>均方根误差</w:t>
            </w:r>
          </w:p>
        </w:tc>
        <w:tc>
          <w:tcPr>
            <w:tcW w:w="1700" w:type="dxa"/>
          </w:tcPr>
          <w:p w14:paraId="1776635A" w14:textId="77777777" w:rsidR="00240DF3" w:rsidRDefault="00857159">
            <w:pPr>
              <w:jc w:val="center"/>
            </w:pPr>
            <w:r>
              <w:rPr>
                <w:b/>
              </w:rPr>
              <w:t>平均绝对误差</w:t>
            </w:r>
          </w:p>
        </w:tc>
        <w:tc>
          <w:tcPr>
            <w:tcW w:w="1700" w:type="dxa"/>
          </w:tcPr>
          <w:p w14:paraId="33CE41D9" w14:textId="77777777" w:rsidR="00240DF3" w:rsidRDefault="00857159">
            <w:pPr>
              <w:jc w:val="center"/>
            </w:pPr>
            <w:r>
              <w:rPr>
                <w:b/>
              </w:rPr>
              <w:t>平均百分比误差</w:t>
            </w:r>
          </w:p>
        </w:tc>
        <w:tc>
          <w:tcPr>
            <w:tcW w:w="1700" w:type="dxa"/>
          </w:tcPr>
          <w:p w14:paraId="0AC0E69F" w14:textId="77777777" w:rsidR="00240DF3" w:rsidRDefault="00857159">
            <w:pPr>
              <w:jc w:val="center"/>
            </w:pPr>
            <w:r>
              <w:rPr>
                <w:b/>
              </w:rPr>
              <w:t>决定系数</w:t>
            </w:r>
          </w:p>
        </w:tc>
      </w:tr>
      <w:tr w:rsidR="00240DF3" w14:paraId="1A95EE69" w14:textId="77777777">
        <w:tblPrEx>
          <w:tblCellMar>
            <w:top w:w="0" w:type="dxa"/>
            <w:bottom w:w="0" w:type="dxa"/>
          </w:tblCellMar>
        </w:tblPrEx>
        <w:tc>
          <w:tcPr>
            <w:tcW w:w="1700" w:type="dxa"/>
          </w:tcPr>
          <w:p w14:paraId="5731E7A5" w14:textId="77777777" w:rsidR="00240DF3" w:rsidRDefault="00857159">
            <w:pPr>
              <w:jc w:val="center"/>
            </w:pPr>
            <w:r>
              <w:t>集中式梯度提升树基线</w:t>
            </w:r>
          </w:p>
        </w:tc>
        <w:tc>
          <w:tcPr>
            <w:tcW w:w="1700" w:type="dxa"/>
          </w:tcPr>
          <w:p w14:paraId="30907CFC" w14:textId="77777777" w:rsidR="00240DF3" w:rsidRDefault="00857159">
            <w:pPr>
              <w:jc w:val="center"/>
            </w:pPr>
            <w:r>
              <w:t>64.33%</w:t>
            </w:r>
          </w:p>
        </w:tc>
        <w:tc>
          <w:tcPr>
            <w:tcW w:w="1700" w:type="dxa"/>
          </w:tcPr>
          <w:p w14:paraId="3217936F" w14:textId="77777777" w:rsidR="00240DF3" w:rsidRDefault="00857159">
            <w:pPr>
              <w:jc w:val="center"/>
            </w:pPr>
            <w:r>
              <w:t>1,639,791</w:t>
            </w:r>
          </w:p>
        </w:tc>
        <w:tc>
          <w:tcPr>
            <w:tcW w:w="1700" w:type="dxa"/>
          </w:tcPr>
          <w:p w14:paraId="4D7FD287" w14:textId="77777777" w:rsidR="00240DF3" w:rsidRDefault="00857159">
            <w:pPr>
              <w:jc w:val="center"/>
            </w:pPr>
            <w:r>
              <w:t>1,189,341</w:t>
            </w:r>
          </w:p>
        </w:tc>
        <w:tc>
          <w:tcPr>
            <w:tcW w:w="1700" w:type="dxa"/>
          </w:tcPr>
          <w:p w14:paraId="3BBC70A4" w14:textId="77777777" w:rsidR="00240DF3" w:rsidRDefault="00857159">
            <w:pPr>
              <w:jc w:val="center"/>
            </w:pPr>
            <w:r>
              <w:t>29.67%</w:t>
            </w:r>
          </w:p>
        </w:tc>
        <w:tc>
          <w:tcPr>
            <w:tcW w:w="1700" w:type="dxa"/>
          </w:tcPr>
          <w:p w14:paraId="473A1720" w14:textId="77777777" w:rsidR="00240DF3" w:rsidRDefault="00857159">
            <w:pPr>
              <w:jc w:val="center"/>
            </w:pPr>
            <w:r>
              <w:t>-</w:t>
            </w:r>
          </w:p>
        </w:tc>
      </w:tr>
      <w:tr w:rsidR="00240DF3" w14:paraId="732125B3" w14:textId="77777777">
        <w:tblPrEx>
          <w:tblCellMar>
            <w:top w:w="0" w:type="dxa"/>
            <w:bottom w:w="0" w:type="dxa"/>
          </w:tblCellMar>
        </w:tblPrEx>
        <w:tc>
          <w:tcPr>
            <w:tcW w:w="1700" w:type="dxa"/>
          </w:tcPr>
          <w:p w14:paraId="04E7E613" w14:textId="77777777" w:rsidR="00240DF3" w:rsidRDefault="00857159">
            <w:pPr>
              <w:jc w:val="center"/>
            </w:pPr>
            <w:r>
              <w:t>集中式多层</w:t>
            </w:r>
            <w:r>
              <w:lastRenderedPageBreak/>
              <w:t>感知机基线</w:t>
            </w:r>
          </w:p>
        </w:tc>
        <w:tc>
          <w:tcPr>
            <w:tcW w:w="1700" w:type="dxa"/>
          </w:tcPr>
          <w:p w14:paraId="4F7215A8" w14:textId="77777777" w:rsidR="00240DF3" w:rsidRDefault="00857159">
            <w:pPr>
              <w:jc w:val="center"/>
            </w:pPr>
            <w:r>
              <w:lastRenderedPageBreak/>
              <w:t>50.58%</w:t>
            </w:r>
          </w:p>
        </w:tc>
        <w:tc>
          <w:tcPr>
            <w:tcW w:w="1700" w:type="dxa"/>
          </w:tcPr>
          <w:p w14:paraId="66B5B50E" w14:textId="77777777" w:rsidR="00240DF3" w:rsidRDefault="00857159">
            <w:pPr>
              <w:jc w:val="center"/>
            </w:pPr>
            <w:r>
              <w:t>1,406,208</w:t>
            </w:r>
          </w:p>
        </w:tc>
        <w:tc>
          <w:tcPr>
            <w:tcW w:w="1700" w:type="dxa"/>
          </w:tcPr>
          <w:p w14:paraId="63EFD0EC" w14:textId="77777777" w:rsidR="00240DF3" w:rsidRDefault="00857159">
            <w:pPr>
              <w:jc w:val="center"/>
            </w:pPr>
            <w:r>
              <w:t>1,018,121</w:t>
            </w:r>
          </w:p>
        </w:tc>
        <w:tc>
          <w:tcPr>
            <w:tcW w:w="1700" w:type="dxa"/>
          </w:tcPr>
          <w:p w14:paraId="022ECAB9" w14:textId="77777777" w:rsidR="00240DF3" w:rsidRDefault="00857159">
            <w:pPr>
              <w:jc w:val="center"/>
            </w:pPr>
            <w:r>
              <w:t>19.84%</w:t>
            </w:r>
          </w:p>
        </w:tc>
        <w:tc>
          <w:tcPr>
            <w:tcW w:w="1700" w:type="dxa"/>
          </w:tcPr>
          <w:p w14:paraId="5823DEA4" w14:textId="77777777" w:rsidR="00240DF3" w:rsidRDefault="00857159">
            <w:pPr>
              <w:jc w:val="center"/>
            </w:pPr>
            <w:r>
              <w:t>-</w:t>
            </w:r>
          </w:p>
        </w:tc>
      </w:tr>
      <w:tr w:rsidR="00240DF3" w14:paraId="465E4DBF" w14:textId="77777777">
        <w:tblPrEx>
          <w:tblCellMar>
            <w:top w:w="0" w:type="dxa"/>
            <w:bottom w:w="0" w:type="dxa"/>
          </w:tblCellMar>
        </w:tblPrEx>
        <w:tc>
          <w:tcPr>
            <w:tcW w:w="1700" w:type="dxa"/>
          </w:tcPr>
          <w:p w14:paraId="59B038FD" w14:textId="77777777" w:rsidR="00240DF3" w:rsidRDefault="00857159">
            <w:pPr>
              <w:jc w:val="center"/>
            </w:pPr>
            <w:r>
              <w:t>固定权重联邦训练基线</w:t>
            </w:r>
          </w:p>
        </w:tc>
        <w:tc>
          <w:tcPr>
            <w:tcW w:w="1700" w:type="dxa"/>
          </w:tcPr>
          <w:p w14:paraId="58873094" w14:textId="77777777" w:rsidR="00240DF3" w:rsidRDefault="00857159">
            <w:pPr>
              <w:jc w:val="center"/>
            </w:pPr>
            <w:r>
              <w:t>42.06%</w:t>
            </w:r>
          </w:p>
        </w:tc>
        <w:tc>
          <w:tcPr>
            <w:tcW w:w="1700" w:type="dxa"/>
          </w:tcPr>
          <w:p w14:paraId="555F8278" w14:textId="77777777" w:rsidR="00240DF3" w:rsidRDefault="00857159">
            <w:pPr>
              <w:jc w:val="center"/>
            </w:pPr>
            <w:r>
              <w:t>1,700,434</w:t>
            </w:r>
          </w:p>
        </w:tc>
        <w:tc>
          <w:tcPr>
            <w:tcW w:w="1700" w:type="dxa"/>
          </w:tcPr>
          <w:p w14:paraId="4C1D143A" w14:textId="77777777" w:rsidR="00240DF3" w:rsidRDefault="00857159">
            <w:pPr>
              <w:jc w:val="center"/>
            </w:pPr>
            <w:r>
              <w:t>1,198,377</w:t>
            </w:r>
          </w:p>
        </w:tc>
        <w:tc>
          <w:tcPr>
            <w:tcW w:w="1700" w:type="dxa"/>
          </w:tcPr>
          <w:p w14:paraId="129DDEB9" w14:textId="77777777" w:rsidR="00240DF3" w:rsidRDefault="00857159">
            <w:pPr>
              <w:jc w:val="center"/>
            </w:pPr>
            <w:r>
              <w:t>-16.56%</w:t>
            </w:r>
          </w:p>
        </w:tc>
        <w:tc>
          <w:tcPr>
            <w:tcW w:w="1700" w:type="dxa"/>
          </w:tcPr>
          <w:p w14:paraId="4D761707" w14:textId="77777777" w:rsidR="00240DF3" w:rsidRDefault="00857159">
            <w:pPr>
              <w:jc w:val="center"/>
            </w:pPr>
            <w:r>
              <w:t>0.3196</w:t>
            </w:r>
          </w:p>
        </w:tc>
      </w:tr>
      <w:tr w:rsidR="00240DF3" w14:paraId="6B85F6D9" w14:textId="77777777">
        <w:tblPrEx>
          <w:tblCellMar>
            <w:top w:w="0" w:type="dxa"/>
            <w:bottom w:w="0" w:type="dxa"/>
          </w:tblCellMar>
        </w:tblPrEx>
        <w:tc>
          <w:tcPr>
            <w:tcW w:w="1700" w:type="dxa"/>
          </w:tcPr>
          <w:p w14:paraId="2AD968F0" w14:textId="77777777" w:rsidR="00240DF3" w:rsidRDefault="00857159">
            <w:pPr>
              <w:jc w:val="center"/>
            </w:pPr>
            <w:r>
              <w:t>基于多智能体协同的联邦学习训练</w:t>
            </w:r>
          </w:p>
        </w:tc>
        <w:tc>
          <w:tcPr>
            <w:tcW w:w="1700" w:type="dxa"/>
          </w:tcPr>
          <w:p w14:paraId="719B7CC7" w14:textId="77777777" w:rsidR="00240DF3" w:rsidRDefault="00857159">
            <w:pPr>
              <w:jc w:val="center"/>
            </w:pPr>
            <w:r>
              <w:t>42.01%</w:t>
            </w:r>
          </w:p>
        </w:tc>
        <w:tc>
          <w:tcPr>
            <w:tcW w:w="1700" w:type="dxa"/>
          </w:tcPr>
          <w:p w14:paraId="750EC3F8" w14:textId="77777777" w:rsidR="00240DF3" w:rsidRDefault="00857159">
            <w:pPr>
              <w:jc w:val="center"/>
            </w:pPr>
            <w:r>
              <w:t>1,699,809</w:t>
            </w:r>
          </w:p>
        </w:tc>
        <w:tc>
          <w:tcPr>
            <w:tcW w:w="1700" w:type="dxa"/>
          </w:tcPr>
          <w:p w14:paraId="5280EDAA" w14:textId="77777777" w:rsidR="00240DF3" w:rsidRDefault="00857159">
            <w:pPr>
              <w:jc w:val="center"/>
            </w:pPr>
            <w:r>
              <w:t>1,195,272</w:t>
            </w:r>
          </w:p>
        </w:tc>
        <w:tc>
          <w:tcPr>
            <w:tcW w:w="1700" w:type="dxa"/>
          </w:tcPr>
          <w:p w14:paraId="372A743E" w14:textId="77777777" w:rsidR="00240DF3" w:rsidRDefault="00857159">
            <w:pPr>
              <w:jc w:val="center"/>
            </w:pPr>
            <w:r>
              <w:t>-16.09%</w:t>
            </w:r>
          </w:p>
        </w:tc>
        <w:tc>
          <w:tcPr>
            <w:tcW w:w="1700" w:type="dxa"/>
          </w:tcPr>
          <w:p w14:paraId="72BA2E0F" w14:textId="77777777" w:rsidR="00240DF3" w:rsidRDefault="00857159">
            <w:pPr>
              <w:jc w:val="center"/>
            </w:pPr>
            <w:r>
              <w:t>0.3201</w:t>
            </w:r>
          </w:p>
        </w:tc>
      </w:tr>
    </w:tbl>
    <w:p w14:paraId="0D5BD759" w14:textId="77777777" w:rsidR="00240DF3" w:rsidRDefault="00857159">
      <w:pPr>
        <w:jc w:val="center"/>
      </w:pPr>
      <w:r>
        <w:rPr>
          <w:noProof/>
        </w:rPr>
        <w:drawing>
          <wp:inline distT="0" distB="0" distL="0" distR="0" wp14:anchorId="2BEB98BE" wp14:editId="084F8266">
            <wp:extent cx="5394960" cy="4299619"/>
            <wp:effectExtent l="0" t="0" r="0" b="0"/>
            <wp:docPr id="1" name="fig5_1_overal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5_1_overall_comparison.png"/>
                    <pic:cNvPicPr/>
                  </pic:nvPicPr>
                  <pic:blipFill>
                    <a:blip r:embed="rId6"/>
                    <a:stretch>
                      <a:fillRect/>
                    </a:stretch>
                  </pic:blipFill>
                  <pic:spPr>
                    <a:xfrm>
                      <a:off x="0" y="0"/>
                      <a:ext cx="5394960" cy="4299619"/>
                    </a:xfrm>
                    <a:prstGeom prst="rect">
                      <a:avLst/>
                    </a:prstGeom>
                  </pic:spPr>
                </pic:pic>
              </a:graphicData>
            </a:graphic>
          </wp:inline>
        </w:drawing>
      </w:r>
    </w:p>
    <w:p w14:paraId="17613632" w14:textId="77777777" w:rsidR="00240DF3" w:rsidRDefault="00857159">
      <w:pPr>
        <w:pStyle w:val="a4"/>
      </w:pPr>
      <w:r>
        <w:rPr>
          <w:sz w:val="24"/>
          <w:szCs w:val="24"/>
        </w:rPr>
        <w:t>图</w:t>
      </w:r>
      <w:r>
        <w:rPr>
          <w:sz w:val="24"/>
          <w:szCs w:val="24"/>
        </w:rPr>
        <w:t xml:space="preserve">5-1  </w:t>
      </w:r>
      <w:r>
        <w:rPr>
          <w:sz w:val="24"/>
          <w:szCs w:val="24"/>
        </w:rPr>
        <w:t>不同方法在测试集上的总体表现</w:t>
      </w:r>
    </w:p>
    <w:p w14:paraId="0768CCDF" w14:textId="7AF65642" w:rsidR="00240DF3" w:rsidRDefault="00857159">
      <w:r>
        <w:t>从误差结构看，基于多智能体协同的联邦学习训练的平均百分比误差为</w:t>
      </w:r>
      <w:r>
        <w:t>-16.09%</w:t>
      </w:r>
      <w:r>
        <w:t>，固定权重联邦训练基线为</w:t>
      </w:r>
      <w:r>
        <w:t>-16.56%</w:t>
      </w:r>
      <w:r>
        <w:t>，二者都表现为系统性低估，但前者的低估幅度略小。这表明在当前结果下，多智能体协</w:t>
      </w:r>
      <w:proofErr w:type="gramStart"/>
      <w:r>
        <w:t>同带来</w:t>
      </w:r>
      <w:proofErr w:type="gramEnd"/>
      <w:r>
        <w:t>的收益并不体现为对某一单一指标的激进压缩，而更接近一种对整体误差结构的细微优化。对工程造价预测而言，这</w:t>
      </w:r>
      <w:r>
        <w:lastRenderedPageBreak/>
        <w:t>种</w:t>
      </w:r>
      <w:proofErr w:type="gramStart"/>
      <w:r>
        <w:t>小幅但</w:t>
      </w:r>
      <w:proofErr w:type="gramEnd"/>
      <w:r>
        <w:t>方向一致的改进是有意义的，因为模型不仅要追求数值更低，还要追求误差分布更加稳定、偏差方向更加可控。</w:t>
      </w:r>
    </w:p>
    <w:p w14:paraId="6991A290" w14:textId="77777777" w:rsidR="00080528" w:rsidRDefault="00080528" w:rsidP="00080528">
      <w:pPr>
        <w:pStyle w:val="a9"/>
        <w:ind w:firstLine="480"/>
      </w:pPr>
      <w:r>
        <w:t>需要指出的是，基于多智能体协同的联邦学习训练虽然在平均绝对百分比误差上最优，但在均方根误差和平均绝对误差上并未同步优于固定权重联邦训练基线。前者的均方根误差和平均绝对误差分别为</w:t>
      </w:r>
      <w:r>
        <w:t>1,616,825</w:t>
      </w:r>
      <w:r>
        <w:t>美元和</w:t>
      </w:r>
      <w:r>
        <w:t>1,142,034</w:t>
      </w:r>
      <w:r>
        <w:t>美元，高于固定权重联邦训练基线的</w:t>
      </w:r>
      <w:r>
        <w:t>1,436,502</w:t>
      </w:r>
      <w:r>
        <w:t>美元和</w:t>
      </w:r>
      <w:r>
        <w:t>1,026,089</w:t>
      </w:r>
      <w:r>
        <w:t>美元。结合数据分布特征可以认为，这一现象并不意味着方法失效，而是表明动态协同带来的收益更多体现在不同规模项目之间的相对误差均衡控制，而不是少数大额项目的绝对误差压缩。与此同时，两类集中式基线均表现出显著高估倾向，平均百分比误差分别为</w:t>
      </w:r>
      <w:r>
        <w:t>29.67%</w:t>
      </w:r>
      <w:r>
        <w:t>和</w:t>
      </w:r>
      <w:r>
        <w:t>19.84%</w:t>
      </w:r>
      <w:r>
        <w:t>；固定权重联邦训练基线已将这一偏差压缩到</w:t>
      </w:r>
      <w:r>
        <w:t>6.25%</w:t>
      </w:r>
      <w:r>
        <w:t>，而基于多智能体协同的联邦学习训练则转为</w:t>
      </w:r>
      <w:r>
        <w:t>-12.64%</w:t>
      </w:r>
      <w:r>
        <w:t>的系统性低估。由此可见，该方法不仅改变了误差大小，也改变了误差结构。</w:t>
      </w:r>
    </w:p>
    <w:p w14:paraId="575817B0" w14:textId="77777777" w:rsidR="00080528" w:rsidRPr="00080528" w:rsidRDefault="00080528">
      <w:pPr>
        <w:rPr>
          <w:rFonts w:hint="eastAsia"/>
        </w:rPr>
      </w:pPr>
    </w:p>
    <w:p w14:paraId="5A883D09" w14:textId="77777777" w:rsidR="00240DF3" w:rsidRDefault="00857159">
      <w:pPr>
        <w:pStyle w:val="1"/>
      </w:pPr>
      <w:bookmarkStart w:id="1" w:name="_Hlk225210231"/>
      <w:r>
        <w:rPr>
          <w:rFonts w:eastAsia="宋体"/>
          <w:sz w:val="24"/>
          <w:szCs w:val="24"/>
        </w:rPr>
        <w:t xml:space="preserve">5.2 </w:t>
      </w:r>
      <w:r>
        <w:rPr>
          <w:rFonts w:eastAsia="宋体"/>
          <w:sz w:val="24"/>
          <w:szCs w:val="24"/>
        </w:rPr>
        <w:t>收敛过程与决策轨迹分析</w:t>
      </w:r>
    </w:p>
    <w:bookmarkEnd w:id="1"/>
    <w:p w14:paraId="379A5AB0" w14:textId="77777777" w:rsidR="00240DF3" w:rsidRDefault="00857159">
      <w:r>
        <w:t>图</w:t>
      </w:r>
      <w:r>
        <w:t>5-2</w:t>
      </w:r>
      <w:r>
        <w:t>给出了固定权重联邦训练基线与基于多智能体协同的联邦学习训练在验证</w:t>
      </w:r>
      <w:r>
        <w:t>集上的收敛曲线。与前一版实验口径不同，本次比较中两者均采用二十轮训练，因此不再讨论通信轮次节省问题，而是直接比较相同轮数下的收敛质量。</w:t>
      </w:r>
      <w:bookmarkStart w:id="2" w:name="_Hlk225208069"/>
      <w:r>
        <w:t>结果表明，固定权重联邦训练基线在第</w:t>
      </w:r>
      <w:r>
        <w:t>20</w:t>
      </w:r>
      <w:r>
        <w:t>轮达到最佳验证结果，平均绝对百分比误差为</w:t>
      </w:r>
      <w:r>
        <w:t>40.58%</w:t>
      </w:r>
      <w:r>
        <w:t>；基于多智能体协同的联邦学习训练同样在第</w:t>
      </w:r>
      <w:r>
        <w:t>20</w:t>
      </w:r>
      <w:r>
        <w:t>轮达到最佳验证结果，平均绝对百分比误差为</w:t>
      </w:r>
      <w:r>
        <w:t>40.57%</w:t>
      </w:r>
      <w:r>
        <w:t>。二者的最终验证表现极为接近，但基于多智能体协同的联邦学习训练仍然略优，这与其在测试集上的小幅领先是相互一致的。</w:t>
      </w:r>
    </w:p>
    <w:bookmarkEnd w:id="2"/>
    <w:p w14:paraId="3795D24D" w14:textId="77777777" w:rsidR="00240DF3" w:rsidRDefault="00857159">
      <w:pPr>
        <w:jc w:val="center"/>
      </w:pPr>
      <w:r>
        <w:rPr>
          <w:noProof/>
        </w:rPr>
        <w:lastRenderedPageBreak/>
        <w:drawing>
          <wp:inline distT="0" distB="0" distL="0" distR="0" wp14:anchorId="6D4A4092" wp14:editId="549BFFBF">
            <wp:extent cx="5394960" cy="2022543"/>
            <wp:effectExtent l="0" t="0" r="0" b="0"/>
            <wp:docPr id="2" name="fig5_2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5_2_convergence.png"/>
                    <pic:cNvPicPr/>
                  </pic:nvPicPr>
                  <pic:blipFill>
                    <a:blip r:embed="rId7"/>
                    <a:stretch>
                      <a:fillRect/>
                    </a:stretch>
                  </pic:blipFill>
                  <pic:spPr>
                    <a:xfrm>
                      <a:off x="0" y="0"/>
                      <a:ext cx="5394960" cy="2022543"/>
                    </a:xfrm>
                    <a:prstGeom prst="rect">
                      <a:avLst/>
                    </a:prstGeom>
                  </pic:spPr>
                </pic:pic>
              </a:graphicData>
            </a:graphic>
          </wp:inline>
        </w:drawing>
      </w:r>
    </w:p>
    <w:p w14:paraId="09B1AEF0" w14:textId="77777777" w:rsidR="00240DF3" w:rsidRDefault="00857159">
      <w:pPr>
        <w:pStyle w:val="a4"/>
      </w:pPr>
      <w:r>
        <w:rPr>
          <w:sz w:val="24"/>
          <w:szCs w:val="24"/>
        </w:rPr>
        <w:t>图</w:t>
      </w:r>
      <w:r>
        <w:rPr>
          <w:sz w:val="24"/>
          <w:szCs w:val="24"/>
        </w:rPr>
        <w:t xml:space="preserve">5-2  </w:t>
      </w:r>
      <w:r>
        <w:rPr>
          <w:sz w:val="24"/>
          <w:szCs w:val="24"/>
        </w:rPr>
        <w:t>两种联邦训练方式在验证集上的收敛过程比较</w:t>
      </w:r>
    </w:p>
    <w:p w14:paraId="0090F44C" w14:textId="77777777" w:rsidR="00240DF3" w:rsidRDefault="00857159">
      <w:r>
        <w:t>图</w:t>
      </w:r>
      <w:r>
        <w:t>5-3</w:t>
      </w:r>
      <w:r>
        <w:t>进一步揭示了</w:t>
      </w:r>
      <w:r>
        <w:t>多智能体协同决策的演化轨迹。当前二十轮结果显示，系统在前四轮依次</w:t>
      </w:r>
      <w:proofErr w:type="gramStart"/>
      <w:r>
        <w:t>试探按</w:t>
      </w:r>
      <w:proofErr w:type="gramEnd"/>
      <w:r>
        <w:t>样本量聚合、按性能聚合、混合聚合以及公平约束聚合，随后有</w:t>
      </w:r>
      <w:r>
        <w:t>17</w:t>
      </w:r>
      <w:r>
        <w:t>轮继续采用公平约束聚合，占总轮次的</w:t>
      </w:r>
      <w:r>
        <w:t>85.00%</w:t>
      </w:r>
      <w:r>
        <w:t>。学习率和本地训练轮数在该轮次配置下未再发生额外调节，说明多智能体协同机制在当前实验中并未表现为频繁切换规则，而是在早期完成探索后快速收敛到一种稳定策略。换言之，这一机制的价值不在于持续制造波动，而在于基于训练反馈选择并维持一个可解释的训练控制方案。</w:t>
      </w:r>
    </w:p>
    <w:p w14:paraId="53F8C98C" w14:textId="77777777" w:rsidR="00240DF3" w:rsidRDefault="00857159">
      <w:pPr>
        <w:jc w:val="center"/>
      </w:pPr>
      <w:r>
        <w:rPr>
          <w:noProof/>
        </w:rPr>
        <w:lastRenderedPageBreak/>
        <w:drawing>
          <wp:inline distT="0" distB="0" distL="0" distR="0" wp14:anchorId="7FAF3300" wp14:editId="7F44876C">
            <wp:extent cx="5394960" cy="4638553"/>
            <wp:effectExtent l="0" t="0" r="0" b="0"/>
            <wp:docPr id="3" name="fig5_3_strategy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5_3_strategy_timeline.png"/>
                    <pic:cNvPicPr/>
                  </pic:nvPicPr>
                  <pic:blipFill>
                    <a:blip r:embed="rId8"/>
                    <a:stretch>
                      <a:fillRect/>
                    </a:stretch>
                  </pic:blipFill>
                  <pic:spPr>
                    <a:xfrm>
                      <a:off x="0" y="0"/>
                      <a:ext cx="5394960" cy="4638553"/>
                    </a:xfrm>
                    <a:prstGeom prst="rect">
                      <a:avLst/>
                    </a:prstGeom>
                  </pic:spPr>
                </pic:pic>
              </a:graphicData>
            </a:graphic>
          </wp:inline>
        </w:drawing>
      </w:r>
    </w:p>
    <w:p w14:paraId="0A58D3B5" w14:textId="77777777" w:rsidR="00240DF3" w:rsidRDefault="00857159">
      <w:pPr>
        <w:pStyle w:val="a4"/>
      </w:pPr>
      <w:r>
        <w:rPr>
          <w:sz w:val="24"/>
          <w:szCs w:val="24"/>
        </w:rPr>
        <w:t>图</w:t>
      </w:r>
      <w:r>
        <w:rPr>
          <w:sz w:val="24"/>
          <w:szCs w:val="24"/>
        </w:rPr>
        <w:t xml:space="preserve">5-3  </w:t>
      </w:r>
      <w:r>
        <w:rPr>
          <w:sz w:val="24"/>
          <w:szCs w:val="24"/>
        </w:rPr>
        <w:t>基于多智能体协同的联邦学习训练的决策轨迹</w:t>
      </w:r>
    </w:p>
    <w:p w14:paraId="0CBE8F83" w14:textId="77777777" w:rsidR="00240DF3" w:rsidRDefault="00857159">
      <w:pPr>
        <w:pStyle w:val="1"/>
      </w:pPr>
      <w:bookmarkStart w:id="3" w:name="_Hlk225210262"/>
      <w:r>
        <w:rPr>
          <w:rFonts w:eastAsia="宋体"/>
          <w:sz w:val="24"/>
          <w:szCs w:val="24"/>
        </w:rPr>
        <w:t xml:space="preserve">5.3 </w:t>
      </w:r>
      <w:r>
        <w:rPr>
          <w:rFonts w:eastAsia="宋体"/>
          <w:sz w:val="24"/>
          <w:szCs w:val="24"/>
        </w:rPr>
        <w:t>客户端均衡性与消融结果分析</w:t>
      </w:r>
    </w:p>
    <w:bookmarkEnd w:id="3"/>
    <w:p w14:paraId="05945661" w14:textId="77777777" w:rsidR="00240DF3" w:rsidRDefault="00857159">
      <w:r>
        <w:t>图</w:t>
      </w:r>
      <w:r>
        <w:t>5-4</w:t>
      </w:r>
      <w:r>
        <w:t>展示了三个客户端验证误差的变化趋势。在最佳验证轮次处，基于多智能体协同的联邦学习训练下三个客户端的平均绝对百分比误差分别为</w:t>
      </w:r>
      <w:r>
        <w:t>40.48%</w:t>
      </w:r>
      <w:r>
        <w:t>、</w:t>
      </w:r>
      <w:r>
        <w:t>36.95%</w:t>
      </w:r>
      <w:r>
        <w:t>和</w:t>
      </w:r>
      <w:r>
        <w:t>36.17%</w:t>
      </w:r>
      <w:r>
        <w:t>，对应聚合权重为</w:t>
      </w:r>
      <w:r>
        <w:t>0.330</w:t>
      </w:r>
      <w:r>
        <w:t>、</w:t>
      </w:r>
      <w:r>
        <w:t>0.342</w:t>
      </w:r>
      <w:r>
        <w:t>和</w:t>
      </w:r>
      <w:r>
        <w:t>0.328</w:t>
      </w:r>
      <w:r>
        <w:t>。与固定权重联邦训练基线相比，客户端间误差极差分别为</w:t>
      </w:r>
      <w:r>
        <w:t>4.10</w:t>
      </w:r>
      <w:r>
        <w:t>个百分点和</w:t>
      </w:r>
      <w:r>
        <w:t>4.31</w:t>
      </w:r>
      <w:r>
        <w:t>个百分点，差异非常有限。这说明基于多智能体协同的联邦学习训练并未通过牺牲某一个客户端的表现来换取总体指标，而是在相近的客户端</w:t>
      </w:r>
      <w:r>
        <w:t>均衡性水平上实现了轻微的整体改进。</w:t>
      </w:r>
    </w:p>
    <w:p w14:paraId="26C28D26" w14:textId="77777777" w:rsidR="00240DF3" w:rsidRDefault="00857159">
      <w:pPr>
        <w:jc w:val="center"/>
      </w:pPr>
      <w:r>
        <w:rPr>
          <w:noProof/>
        </w:rPr>
        <w:lastRenderedPageBreak/>
        <w:drawing>
          <wp:inline distT="0" distB="0" distL="0" distR="0" wp14:anchorId="030C4754" wp14:editId="09191632">
            <wp:extent cx="5394960" cy="2735105"/>
            <wp:effectExtent l="0" t="0" r="0" b="0"/>
            <wp:docPr id="4" name="fig5_4_client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5_4_client_trends.png"/>
                    <pic:cNvPicPr/>
                  </pic:nvPicPr>
                  <pic:blipFill>
                    <a:blip r:embed="rId9"/>
                    <a:stretch>
                      <a:fillRect/>
                    </a:stretch>
                  </pic:blipFill>
                  <pic:spPr>
                    <a:xfrm>
                      <a:off x="0" y="0"/>
                      <a:ext cx="5394960" cy="2735105"/>
                    </a:xfrm>
                    <a:prstGeom prst="rect">
                      <a:avLst/>
                    </a:prstGeom>
                  </pic:spPr>
                </pic:pic>
              </a:graphicData>
            </a:graphic>
          </wp:inline>
        </w:drawing>
      </w:r>
    </w:p>
    <w:p w14:paraId="10ADB057" w14:textId="77777777" w:rsidR="00240DF3" w:rsidRDefault="00857159">
      <w:pPr>
        <w:pStyle w:val="a4"/>
      </w:pPr>
      <w:r>
        <w:rPr>
          <w:sz w:val="24"/>
          <w:szCs w:val="24"/>
        </w:rPr>
        <w:t>图</w:t>
      </w:r>
      <w:r>
        <w:rPr>
          <w:sz w:val="24"/>
          <w:szCs w:val="24"/>
        </w:rPr>
        <w:t xml:space="preserve">5-4  </w:t>
      </w:r>
      <w:r>
        <w:rPr>
          <w:sz w:val="24"/>
          <w:szCs w:val="24"/>
        </w:rPr>
        <w:t>三个客户端验证误差的变化趋势</w:t>
      </w:r>
    </w:p>
    <w:p w14:paraId="7252C2A8" w14:textId="77777777" w:rsidR="00240DF3" w:rsidRDefault="00857159">
      <w:r>
        <w:t>图</w:t>
      </w:r>
      <w:r>
        <w:t>5-5</w:t>
      </w:r>
      <w:r>
        <w:t>对应的消融实验更能说明性能变化来自何处。首先，单独引入联邦近端约束后，平均绝对百分比误差由</w:t>
      </w:r>
      <w:r>
        <w:t>42.07%</w:t>
      </w:r>
      <w:r>
        <w:t>变为</w:t>
      </w:r>
      <w:r>
        <w:t>42.06%</w:t>
      </w:r>
      <w:r>
        <w:t>，几乎没有发生变化，说明近端约束在当前样本规模和异质性条件下更多承担训练稳定化作用，而不是主要增益来源。其次，当聚合规则从按样本量固定加权改为按性能固定加权时，误差降至</w:t>
      </w:r>
      <w:r>
        <w:t>41.53%</w:t>
      </w:r>
      <w:r>
        <w:t>，成为本组消融中最低值；改为固定混合加权后，误差为</w:t>
      </w:r>
      <w:r>
        <w:t>41.95%</w:t>
      </w:r>
      <w:r>
        <w:t>，同样优于按样本量固定加权。这表明，聚合规则设计本身是影响联邦</w:t>
      </w:r>
      <w:r>
        <w:t>训练质量的关键因素。再次，当前这版基于多智能体协同的联邦学习训练结果为</w:t>
      </w:r>
      <w:r>
        <w:t>42.01%</w:t>
      </w:r>
      <w:r>
        <w:t>，与最优固定策略相比并未继续降低主指标。这一现象需要结合图</w:t>
      </w:r>
      <w:r>
        <w:t>5-3</w:t>
      </w:r>
      <w:r>
        <w:t>理解：在本次二十轮训练中，多智能体协同机制很快收敛到公平约束聚合，表现出更强的保守性与约束性，因此其主要作用更接近于训练过程治理，而非单纯追求最低单点误差。就当前结果而言，本组消融中</w:t>
      </w:r>
      <w:r>
        <w:t>C-</w:t>
      </w:r>
      <w:proofErr w:type="spellStart"/>
      <w:r>
        <w:t>perf_only</w:t>
      </w:r>
      <w:proofErr w:type="spellEnd"/>
      <w:r>
        <w:t>对应的</w:t>
      </w:r>
      <w:proofErr w:type="gramStart"/>
      <w:r>
        <w:t>主指标</w:t>
      </w:r>
      <w:proofErr w:type="gramEnd"/>
      <w:r>
        <w:t>最优，而多智能体协同机制的优势更多体现在提供可解释的策略选择路径和后续偏差校正空间。</w:t>
      </w:r>
    </w:p>
    <w:p w14:paraId="6C02AB0D" w14:textId="77777777" w:rsidR="00240DF3" w:rsidRDefault="00857159">
      <w:pPr>
        <w:jc w:val="center"/>
      </w:pPr>
      <w:r>
        <w:rPr>
          <w:noProof/>
        </w:rPr>
        <w:lastRenderedPageBreak/>
        <w:drawing>
          <wp:inline distT="0" distB="0" distL="0" distR="0" wp14:anchorId="227523E1" wp14:editId="02EE438D">
            <wp:extent cx="5394960" cy="2688352"/>
            <wp:effectExtent l="0" t="0" r="0" b="0"/>
            <wp:docPr id="5" name="fig5_5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5_ablation.png"/>
                    <pic:cNvPicPr/>
                  </pic:nvPicPr>
                  <pic:blipFill>
                    <a:blip r:embed="rId10"/>
                    <a:stretch>
                      <a:fillRect/>
                    </a:stretch>
                  </pic:blipFill>
                  <pic:spPr>
                    <a:xfrm>
                      <a:off x="0" y="0"/>
                      <a:ext cx="5394960" cy="2688352"/>
                    </a:xfrm>
                    <a:prstGeom prst="rect">
                      <a:avLst/>
                    </a:prstGeom>
                  </pic:spPr>
                </pic:pic>
              </a:graphicData>
            </a:graphic>
          </wp:inline>
        </w:drawing>
      </w:r>
    </w:p>
    <w:p w14:paraId="3D691406" w14:textId="77777777" w:rsidR="00240DF3" w:rsidRDefault="00857159">
      <w:pPr>
        <w:pStyle w:val="a4"/>
      </w:pPr>
      <w:r>
        <w:rPr>
          <w:sz w:val="24"/>
          <w:szCs w:val="24"/>
        </w:rPr>
        <w:t>图</w:t>
      </w:r>
      <w:r>
        <w:rPr>
          <w:sz w:val="24"/>
          <w:szCs w:val="24"/>
        </w:rPr>
        <w:t xml:space="preserve">5-5  </w:t>
      </w:r>
      <w:r>
        <w:rPr>
          <w:sz w:val="24"/>
          <w:szCs w:val="24"/>
        </w:rPr>
        <w:t>不同组件组合下的消融结果比较</w:t>
      </w:r>
    </w:p>
    <w:p w14:paraId="0331FF3A" w14:textId="77777777" w:rsidR="00240DF3" w:rsidRDefault="00857159">
      <w:pPr>
        <w:pStyle w:val="1"/>
      </w:pPr>
      <w:bookmarkStart w:id="4" w:name="_Hlk225210386"/>
      <w:r>
        <w:rPr>
          <w:rFonts w:eastAsia="宋体"/>
          <w:sz w:val="24"/>
          <w:szCs w:val="24"/>
        </w:rPr>
        <w:t xml:space="preserve">5.4 </w:t>
      </w:r>
      <w:r>
        <w:rPr>
          <w:rFonts w:eastAsia="宋体"/>
          <w:sz w:val="24"/>
          <w:szCs w:val="24"/>
        </w:rPr>
        <w:t>稳健性与偏差校正分析</w:t>
      </w:r>
    </w:p>
    <w:bookmarkEnd w:id="4"/>
    <w:p w14:paraId="30190DC4" w14:textId="77777777" w:rsidR="00240DF3" w:rsidRDefault="00857159">
      <w:r>
        <w:t>为了判断该方法是否只是对单一随机种子敏感，图</w:t>
      </w:r>
      <w:r>
        <w:t>5-6</w:t>
      </w:r>
      <w:r>
        <w:t>和表</w:t>
      </w:r>
      <w:r>
        <w:t>5-2</w:t>
      </w:r>
      <w:r>
        <w:t>进一步比较了多随机种子条件下的结果分布。固定权重联邦训练基线的平均测试误差为</w:t>
      </w:r>
      <w:r>
        <w:t>51.64%</w:t>
      </w:r>
      <w:r>
        <w:t>，标准差为</w:t>
      </w:r>
      <w:r>
        <w:t>4.67%</w:t>
      </w:r>
      <w:r>
        <w:t>；基于多智能体协同的联邦学习训练的平均测试误差为</w:t>
      </w:r>
      <w:r>
        <w:t>51.65%</w:t>
      </w:r>
      <w:r>
        <w:t>，标准差为</w:t>
      </w:r>
      <w:r>
        <w:t>5.75%</w:t>
      </w:r>
      <w:r>
        <w:t>。从均值看，两者几乎一致；从最优值看，基于多智能体协同的联邦学习训练达到</w:t>
      </w:r>
      <w:r>
        <w:t>42.01%</w:t>
      </w:r>
      <w:r>
        <w:t>，优于固定权重联邦训练基线的</w:t>
      </w:r>
      <w:r>
        <w:t>44.46%</w:t>
      </w:r>
      <w:r>
        <w:t>；但从标准差看，其波动也更大。由此可见，该方法在当前数据规模下已经表</w:t>
      </w:r>
      <w:r>
        <w:t>现出更高的性能上界，但其平均收益尚未稳定转化为显著优势，因此仍需在更大样本和更多客户端条件下进一步验证。</w:t>
      </w:r>
    </w:p>
    <w:p w14:paraId="4C31ECCD" w14:textId="77777777" w:rsidR="00240DF3" w:rsidRDefault="00857159">
      <w:pPr>
        <w:pStyle w:val="a4"/>
      </w:pPr>
      <w:r>
        <w:rPr>
          <w:sz w:val="24"/>
          <w:szCs w:val="24"/>
        </w:rPr>
        <w:t>表</w:t>
      </w:r>
      <w:r>
        <w:rPr>
          <w:sz w:val="24"/>
          <w:szCs w:val="24"/>
        </w:rPr>
        <w:t xml:space="preserve">5-2  </w:t>
      </w:r>
      <w:r>
        <w:rPr>
          <w:sz w:val="24"/>
          <w:szCs w:val="24"/>
        </w:rPr>
        <w:t>多随机种子实验结果汇总</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700"/>
        <w:gridCol w:w="1700"/>
        <w:gridCol w:w="1700"/>
        <w:gridCol w:w="1700"/>
        <w:gridCol w:w="1700"/>
      </w:tblGrid>
      <w:tr w:rsidR="00240DF3" w14:paraId="60094CC9" w14:textId="77777777">
        <w:tblPrEx>
          <w:tblCellMar>
            <w:top w:w="0" w:type="dxa"/>
            <w:bottom w:w="0" w:type="dxa"/>
          </w:tblCellMar>
        </w:tblPrEx>
        <w:tc>
          <w:tcPr>
            <w:tcW w:w="1700" w:type="dxa"/>
          </w:tcPr>
          <w:p w14:paraId="325641BA" w14:textId="77777777" w:rsidR="00240DF3" w:rsidRDefault="00857159">
            <w:pPr>
              <w:jc w:val="center"/>
            </w:pPr>
            <w:r>
              <w:rPr>
                <w:b/>
              </w:rPr>
              <w:t>方法</w:t>
            </w:r>
          </w:p>
        </w:tc>
        <w:tc>
          <w:tcPr>
            <w:tcW w:w="1700" w:type="dxa"/>
          </w:tcPr>
          <w:p w14:paraId="32243A76" w14:textId="77777777" w:rsidR="00240DF3" w:rsidRDefault="00857159">
            <w:pPr>
              <w:jc w:val="center"/>
            </w:pPr>
            <w:r>
              <w:rPr>
                <w:b/>
              </w:rPr>
              <w:t>平均值</w:t>
            </w:r>
          </w:p>
        </w:tc>
        <w:tc>
          <w:tcPr>
            <w:tcW w:w="1700" w:type="dxa"/>
          </w:tcPr>
          <w:p w14:paraId="32E39C0E" w14:textId="77777777" w:rsidR="00240DF3" w:rsidRDefault="00857159">
            <w:pPr>
              <w:jc w:val="center"/>
            </w:pPr>
            <w:r>
              <w:rPr>
                <w:b/>
              </w:rPr>
              <w:t>标准差</w:t>
            </w:r>
          </w:p>
        </w:tc>
        <w:tc>
          <w:tcPr>
            <w:tcW w:w="1700" w:type="dxa"/>
          </w:tcPr>
          <w:p w14:paraId="60E6A119" w14:textId="77777777" w:rsidR="00240DF3" w:rsidRDefault="00857159">
            <w:pPr>
              <w:jc w:val="center"/>
            </w:pPr>
            <w:r>
              <w:rPr>
                <w:b/>
              </w:rPr>
              <w:t>最优值</w:t>
            </w:r>
          </w:p>
        </w:tc>
        <w:tc>
          <w:tcPr>
            <w:tcW w:w="1700" w:type="dxa"/>
          </w:tcPr>
          <w:p w14:paraId="0ABF1806" w14:textId="77777777" w:rsidR="00240DF3" w:rsidRDefault="00857159">
            <w:pPr>
              <w:jc w:val="center"/>
            </w:pPr>
            <w:r>
              <w:rPr>
                <w:b/>
              </w:rPr>
              <w:t>最差值</w:t>
            </w:r>
          </w:p>
        </w:tc>
      </w:tr>
      <w:tr w:rsidR="00240DF3" w14:paraId="2B17B79D" w14:textId="77777777">
        <w:tblPrEx>
          <w:tblCellMar>
            <w:top w:w="0" w:type="dxa"/>
            <w:bottom w:w="0" w:type="dxa"/>
          </w:tblCellMar>
        </w:tblPrEx>
        <w:tc>
          <w:tcPr>
            <w:tcW w:w="1700" w:type="dxa"/>
          </w:tcPr>
          <w:p w14:paraId="5FD3941C" w14:textId="77777777" w:rsidR="00240DF3" w:rsidRDefault="00857159">
            <w:pPr>
              <w:jc w:val="center"/>
            </w:pPr>
            <w:r>
              <w:t>固定权重联邦训练基线</w:t>
            </w:r>
          </w:p>
        </w:tc>
        <w:tc>
          <w:tcPr>
            <w:tcW w:w="1700" w:type="dxa"/>
          </w:tcPr>
          <w:p w14:paraId="52E5CEE3" w14:textId="77777777" w:rsidR="00240DF3" w:rsidRDefault="00857159">
            <w:pPr>
              <w:jc w:val="center"/>
            </w:pPr>
            <w:r>
              <w:t>51.64%</w:t>
            </w:r>
          </w:p>
        </w:tc>
        <w:tc>
          <w:tcPr>
            <w:tcW w:w="1700" w:type="dxa"/>
          </w:tcPr>
          <w:p w14:paraId="553EB6B3" w14:textId="77777777" w:rsidR="00240DF3" w:rsidRDefault="00857159">
            <w:pPr>
              <w:jc w:val="center"/>
            </w:pPr>
            <w:r>
              <w:t>4.67%</w:t>
            </w:r>
          </w:p>
        </w:tc>
        <w:tc>
          <w:tcPr>
            <w:tcW w:w="1700" w:type="dxa"/>
          </w:tcPr>
          <w:p w14:paraId="61F3E1DE" w14:textId="77777777" w:rsidR="00240DF3" w:rsidRDefault="00857159">
            <w:pPr>
              <w:jc w:val="center"/>
            </w:pPr>
            <w:r>
              <w:t>44.46%</w:t>
            </w:r>
          </w:p>
        </w:tc>
        <w:tc>
          <w:tcPr>
            <w:tcW w:w="1700" w:type="dxa"/>
          </w:tcPr>
          <w:p w14:paraId="642CF09E" w14:textId="77777777" w:rsidR="00240DF3" w:rsidRDefault="00857159">
            <w:pPr>
              <w:jc w:val="center"/>
            </w:pPr>
            <w:r>
              <w:t>56.16%</w:t>
            </w:r>
          </w:p>
        </w:tc>
      </w:tr>
      <w:tr w:rsidR="00240DF3" w14:paraId="5C1E3DF9" w14:textId="77777777">
        <w:tblPrEx>
          <w:tblCellMar>
            <w:top w:w="0" w:type="dxa"/>
            <w:bottom w:w="0" w:type="dxa"/>
          </w:tblCellMar>
        </w:tblPrEx>
        <w:tc>
          <w:tcPr>
            <w:tcW w:w="1700" w:type="dxa"/>
          </w:tcPr>
          <w:p w14:paraId="47EBD02F" w14:textId="77777777" w:rsidR="00240DF3" w:rsidRDefault="00857159">
            <w:pPr>
              <w:jc w:val="center"/>
            </w:pPr>
            <w:r>
              <w:t>基于多智能体协</w:t>
            </w:r>
            <w:r>
              <w:lastRenderedPageBreak/>
              <w:t>同的联邦学习训练</w:t>
            </w:r>
          </w:p>
        </w:tc>
        <w:tc>
          <w:tcPr>
            <w:tcW w:w="1700" w:type="dxa"/>
          </w:tcPr>
          <w:p w14:paraId="3C9E8639" w14:textId="77777777" w:rsidR="00240DF3" w:rsidRDefault="00857159">
            <w:pPr>
              <w:jc w:val="center"/>
            </w:pPr>
            <w:r>
              <w:lastRenderedPageBreak/>
              <w:t>51.65%</w:t>
            </w:r>
          </w:p>
        </w:tc>
        <w:tc>
          <w:tcPr>
            <w:tcW w:w="1700" w:type="dxa"/>
          </w:tcPr>
          <w:p w14:paraId="289008CF" w14:textId="77777777" w:rsidR="00240DF3" w:rsidRDefault="00857159">
            <w:pPr>
              <w:jc w:val="center"/>
            </w:pPr>
            <w:r>
              <w:t>5.75%</w:t>
            </w:r>
          </w:p>
        </w:tc>
        <w:tc>
          <w:tcPr>
            <w:tcW w:w="1700" w:type="dxa"/>
          </w:tcPr>
          <w:p w14:paraId="38AEA758" w14:textId="77777777" w:rsidR="00240DF3" w:rsidRDefault="00857159">
            <w:pPr>
              <w:jc w:val="center"/>
            </w:pPr>
            <w:r>
              <w:t>42.01%</w:t>
            </w:r>
          </w:p>
        </w:tc>
        <w:tc>
          <w:tcPr>
            <w:tcW w:w="1700" w:type="dxa"/>
          </w:tcPr>
          <w:p w14:paraId="1F56B303" w14:textId="77777777" w:rsidR="00240DF3" w:rsidRDefault="00857159">
            <w:pPr>
              <w:jc w:val="center"/>
            </w:pPr>
            <w:r>
              <w:t>55.76%</w:t>
            </w:r>
          </w:p>
        </w:tc>
      </w:tr>
    </w:tbl>
    <w:p w14:paraId="0F3C6907" w14:textId="77777777" w:rsidR="00240DF3" w:rsidRDefault="00857159">
      <w:pPr>
        <w:jc w:val="center"/>
      </w:pPr>
      <w:r>
        <w:rPr>
          <w:noProof/>
        </w:rPr>
        <w:drawing>
          <wp:inline distT="0" distB="0" distL="0" distR="0" wp14:anchorId="09A23422" wp14:editId="2EB6A527">
            <wp:extent cx="4754880" cy="3210255"/>
            <wp:effectExtent l="0" t="0" r="0" b="0"/>
            <wp:docPr id="6" name="fig5_6_multis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5_6_multiseed.png"/>
                    <pic:cNvPicPr/>
                  </pic:nvPicPr>
                  <pic:blipFill>
                    <a:blip r:embed="rId11"/>
                    <a:stretch>
                      <a:fillRect/>
                    </a:stretch>
                  </pic:blipFill>
                  <pic:spPr>
                    <a:xfrm>
                      <a:off x="0" y="0"/>
                      <a:ext cx="4754880" cy="3210255"/>
                    </a:xfrm>
                    <a:prstGeom prst="rect">
                      <a:avLst/>
                    </a:prstGeom>
                  </pic:spPr>
                </pic:pic>
              </a:graphicData>
            </a:graphic>
          </wp:inline>
        </w:drawing>
      </w:r>
    </w:p>
    <w:p w14:paraId="1B95F6C7" w14:textId="77777777" w:rsidR="00240DF3" w:rsidRDefault="00857159">
      <w:pPr>
        <w:pStyle w:val="a4"/>
      </w:pPr>
      <w:r>
        <w:rPr>
          <w:sz w:val="24"/>
          <w:szCs w:val="24"/>
        </w:rPr>
        <w:t>图</w:t>
      </w:r>
      <w:r>
        <w:rPr>
          <w:sz w:val="24"/>
          <w:szCs w:val="24"/>
        </w:rPr>
        <w:t xml:space="preserve">5-6  </w:t>
      </w:r>
      <w:r>
        <w:rPr>
          <w:sz w:val="24"/>
          <w:szCs w:val="24"/>
        </w:rPr>
        <w:t>多随机种子条件下的稳健性比较</w:t>
      </w:r>
    </w:p>
    <w:p w14:paraId="632903D6" w14:textId="77777777" w:rsidR="00240DF3" w:rsidRDefault="00857159">
      <w:r>
        <w:t>图</w:t>
      </w:r>
      <w:r>
        <w:t>5-7</w:t>
      </w:r>
      <w:r>
        <w:t>展示了偏差校正前后的结果变化。对基于多智能体协同的联邦学习训练结果施加基于验证集偏差的比例校正后，平均百分比误差由</w:t>
      </w:r>
      <w:r>
        <w:t>-16.09%</w:t>
      </w:r>
      <w:r>
        <w:t>收敛到</w:t>
      </w:r>
      <w:r>
        <w:t>-1.40%</w:t>
      </w:r>
      <w:r>
        <w:t>，绝对偏差缩减了</w:t>
      </w:r>
      <w:r>
        <w:t>91.32%</w:t>
      </w:r>
      <w:r>
        <w:t>；均方根误差由</w:t>
      </w:r>
      <w:r>
        <w:t>1,699,809</w:t>
      </w:r>
      <w:r>
        <w:t>下降到</w:t>
      </w:r>
      <w:r>
        <w:t>1,544,123</w:t>
      </w:r>
      <w:r>
        <w:t>，降幅为</w:t>
      </w:r>
      <w:r>
        <w:t>9.16%</w:t>
      </w:r>
      <w:r>
        <w:t>；平均绝对误差由</w:t>
      </w:r>
      <w:r>
        <w:t>1,195,272</w:t>
      </w:r>
      <w:r>
        <w:t>下降到</w:t>
      </w:r>
      <w:r>
        <w:t>1,071,629</w:t>
      </w:r>
      <w:r>
        <w:t>，降幅为</w:t>
      </w:r>
      <w:r>
        <w:t>10.34%</w:t>
      </w:r>
      <w:r>
        <w:t>；决定系数由</w:t>
      </w:r>
      <w:r>
        <w:t>0.3201</w:t>
      </w:r>
      <w:r>
        <w:t>提高到</w:t>
      </w:r>
      <w:r>
        <w:t>0.4389</w:t>
      </w:r>
      <w:r>
        <w:t>。需要指出的是，校正后的平均绝对百分比误差略微上升到</w:t>
      </w:r>
      <w:r>
        <w:t>42.09%</w:t>
      </w:r>
      <w:r>
        <w:t>。这说明偏差校正并非为了继续压低主指标，而是为了修正系统性低估，提高工程</w:t>
      </w:r>
      <w:r>
        <w:t>应用场景下的数值可靠性。从消融实验与偏差校正结果合并来看，多智能体协同训练的现实价值并不只体现在单</w:t>
      </w:r>
      <w:proofErr w:type="gramStart"/>
      <w:r>
        <w:t>次主指标</w:t>
      </w:r>
      <w:proofErr w:type="gramEnd"/>
      <w:r>
        <w:t>最优，还体现在其后续可治理、可校正的空间。</w:t>
      </w:r>
    </w:p>
    <w:p w14:paraId="378516E3" w14:textId="77777777" w:rsidR="00240DF3" w:rsidRDefault="00857159">
      <w:pPr>
        <w:jc w:val="center"/>
      </w:pPr>
      <w:r>
        <w:rPr>
          <w:noProof/>
        </w:rPr>
        <w:lastRenderedPageBreak/>
        <w:drawing>
          <wp:inline distT="0" distB="0" distL="0" distR="0" wp14:anchorId="2FEAA31C" wp14:editId="5780493B">
            <wp:extent cx="5394960" cy="1917120"/>
            <wp:effectExtent l="0" t="0" r="0" b="0"/>
            <wp:docPr id="7" name="fig5_7_bias_corr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5_7_bias_correction.png"/>
                    <pic:cNvPicPr/>
                  </pic:nvPicPr>
                  <pic:blipFill>
                    <a:blip r:embed="rId12"/>
                    <a:stretch>
                      <a:fillRect/>
                    </a:stretch>
                  </pic:blipFill>
                  <pic:spPr>
                    <a:xfrm>
                      <a:off x="0" y="0"/>
                      <a:ext cx="5394960" cy="1917120"/>
                    </a:xfrm>
                    <a:prstGeom prst="rect">
                      <a:avLst/>
                    </a:prstGeom>
                  </pic:spPr>
                </pic:pic>
              </a:graphicData>
            </a:graphic>
          </wp:inline>
        </w:drawing>
      </w:r>
    </w:p>
    <w:p w14:paraId="07CBDCC2" w14:textId="77777777" w:rsidR="00240DF3" w:rsidRDefault="00857159">
      <w:pPr>
        <w:pStyle w:val="a4"/>
      </w:pPr>
      <w:r>
        <w:rPr>
          <w:sz w:val="24"/>
          <w:szCs w:val="24"/>
        </w:rPr>
        <w:t>图</w:t>
      </w:r>
      <w:r>
        <w:rPr>
          <w:sz w:val="24"/>
          <w:szCs w:val="24"/>
        </w:rPr>
        <w:t xml:space="preserve">5-7  </w:t>
      </w:r>
      <w:r>
        <w:rPr>
          <w:sz w:val="24"/>
          <w:szCs w:val="24"/>
        </w:rPr>
        <w:t>偏差校正前后的结果变化</w:t>
      </w:r>
    </w:p>
    <w:p w14:paraId="32E0AD3C" w14:textId="77777777" w:rsidR="00240DF3" w:rsidRDefault="00857159">
      <w:pPr>
        <w:pStyle w:val="1"/>
      </w:pPr>
      <w:bookmarkStart w:id="5" w:name="_Hlk225210432"/>
      <w:r>
        <w:rPr>
          <w:rFonts w:eastAsia="宋体"/>
          <w:sz w:val="24"/>
          <w:szCs w:val="24"/>
        </w:rPr>
        <w:t xml:space="preserve">5.5 </w:t>
      </w:r>
      <w:r>
        <w:rPr>
          <w:rFonts w:eastAsia="宋体"/>
          <w:sz w:val="24"/>
          <w:szCs w:val="24"/>
        </w:rPr>
        <w:t>本章讨论</w:t>
      </w:r>
    </w:p>
    <w:bookmarkEnd w:id="5"/>
    <w:p w14:paraId="70629775" w14:textId="77777777" w:rsidR="00240DF3" w:rsidRDefault="00857159">
      <w:r>
        <w:t>综合以上结果，可以形成三点讨论。第一，在统一二十轮训练设置下，基于多智能体协同的联邦学习训练相较固定权重联邦训练基线的优势已经从过去较大的点位差距，转化为一种幅度较小但方向一致的综合改进。因此，对该方法的评价不宜建立在夸大性的领先叙述之上，而应建立在多指标共同改善这一更稳健的事实基础上。第二，消融实验表</w:t>
      </w:r>
      <w:r>
        <w:t>明，当前结果中最主要的性能贡献来自聚合规则本身，尤其是性能导向的固定加权策略；多智能体协同机制并未在本次重复实验中继续突破这一最优固定策略，而是更多体现为一种上层训练治理机制。第三，多随机种子实验和偏差校正实验共同说明，该方法的研究价值主要在于提供了一个可解释、可调节、可校正的联邦训练框架，它在最佳情形下具有较高性能上界，在工程应用中又可以通过后处理显著修正系统性偏差。</w:t>
      </w:r>
    </w:p>
    <w:p w14:paraId="11595A58" w14:textId="77777777" w:rsidR="00240DF3" w:rsidRDefault="00857159">
      <w:r>
        <w:t>总</w:t>
      </w:r>
      <w:r>
        <w:t>体而言，本章结果支持这样一个更为审慎但更具说服力的判断：在高速公路工程造价预测这一具有数据分散与区域异质性特征的任务中，基于多智能体协同</w:t>
      </w:r>
      <w:r>
        <w:t>的联邦学习训练能够在与固定权重联邦训练基线相同的训练轮次下取得略优的综合表现，并为训练策略解释、客户端约束和偏差校正提供统一的分析框架；但在当前二十轮结果中，其主指标优势并不显著，且尚未稳定压过最优固定性能聚合策略。由此，本文更适合将其界定为一种具有明确研究价值和应用潜力的动态联邦训练机制，而不是在所有条件下均无条件占优的最终方案。</w:t>
      </w:r>
    </w:p>
    <w:sectPr w:rsidR="00240DF3">
      <w:pgSz w:w="11906" w:h="16838"/>
      <w:pgMar w:top="1440" w:right="144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58074" w14:textId="77777777" w:rsidR="00857159" w:rsidRDefault="00857159" w:rsidP="00080528">
      <w:pPr>
        <w:spacing w:after="0" w:line="240" w:lineRule="auto"/>
      </w:pPr>
      <w:r>
        <w:separator/>
      </w:r>
    </w:p>
  </w:endnote>
  <w:endnote w:type="continuationSeparator" w:id="0">
    <w:p w14:paraId="739A3361" w14:textId="77777777" w:rsidR="00857159" w:rsidRDefault="00857159" w:rsidP="00080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42F3D" w14:textId="77777777" w:rsidR="00857159" w:rsidRDefault="00857159" w:rsidP="00080528">
      <w:pPr>
        <w:spacing w:after="0" w:line="240" w:lineRule="auto"/>
      </w:pPr>
      <w:r>
        <w:separator/>
      </w:r>
    </w:p>
  </w:footnote>
  <w:footnote w:type="continuationSeparator" w:id="0">
    <w:p w14:paraId="7D440904" w14:textId="77777777" w:rsidR="00857159" w:rsidRDefault="00857159" w:rsidP="000805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40DF3"/>
    <w:rsid w:val="00080528"/>
    <w:rsid w:val="00240DF3"/>
    <w:rsid w:val="00286585"/>
    <w:rsid w:val="00857159"/>
    <w:rsid w:val="00892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6655EA"/>
  <w15:docId w15:val="{945A44EE-66B6-4B66-A469-FDC6417F3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420" w:lineRule="auto"/>
    </w:pPr>
  </w:style>
  <w:style w:type="paragraph" w:styleId="1">
    <w:name w:val="heading 1"/>
    <w:basedOn w:val="a"/>
    <w:uiPriority w:val="9"/>
    <w:qFormat/>
    <w:pPr>
      <w:spacing w:before="240"/>
      <w:outlineLvl w:val="0"/>
    </w:pPr>
    <w:rPr>
      <w:rFonts w:eastAsia="黑体"/>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120" w:after="240"/>
      <w:jc w:val="center"/>
    </w:pPr>
    <w:rPr>
      <w:rFonts w:eastAsia="黑体"/>
      <w:b/>
      <w:sz w:val="32"/>
      <w:szCs w:val="32"/>
    </w:rPr>
  </w:style>
  <w:style w:type="paragraph" w:styleId="a4">
    <w:name w:val="caption"/>
    <w:basedOn w:val="a"/>
    <w:qFormat/>
    <w:pPr>
      <w:spacing w:before="60"/>
      <w:jc w:val="center"/>
    </w:pPr>
    <w:rPr>
      <w:sz w:val="21"/>
      <w:szCs w:val="21"/>
    </w:rPr>
  </w:style>
  <w:style w:type="paragraph" w:styleId="a5">
    <w:name w:val="header"/>
    <w:basedOn w:val="a"/>
    <w:link w:val="a6"/>
    <w:uiPriority w:val="99"/>
    <w:unhideWhenUsed/>
    <w:rsid w:val="00080528"/>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080528"/>
    <w:rPr>
      <w:sz w:val="18"/>
      <w:szCs w:val="18"/>
    </w:rPr>
  </w:style>
  <w:style w:type="paragraph" w:styleId="a7">
    <w:name w:val="footer"/>
    <w:basedOn w:val="a"/>
    <w:link w:val="a8"/>
    <w:uiPriority w:val="99"/>
    <w:unhideWhenUsed/>
    <w:rsid w:val="00080528"/>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080528"/>
    <w:rPr>
      <w:sz w:val="18"/>
      <w:szCs w:val="18"/>
    </w:rPr>
  </w:style>
  <w:style w:type="paragraph" w:customStyle="1" w:styleId="a9">
    <w:name w:val="实验报告"/>
    <w:basedOn w:val="a"/>
    <w:link w:val="aa"/>
    <w:qFormat/>
    <w:rsid w:val="00080528"/>
    <w:pPr>
      <w:widowControl w:val="0"/>
      <w:spacing w:after="0" w:line="360" w:lineRule="auto"/>
      <w:ind w:firstLineChars="200" w:firstLine="200"/>
      <w:jc w:val="both"/>
    </w:pPr>
    <w:rPr>
      <w:rFonts w:eastAsia="仿宋" w:cstheme="minorBidi"/>
      <w:kern w:val="2"/>
      <w:szCs w:val="22"/>
    </w:rPr>
  </w:style>
  <w:style w:type="character" w:customStyle="1" w:styleId="aa">
    <w:name w:val="实验报告 字符"/>
    <w:basedOn w:val="a0"/>
    <w:link w:val="a9"/>
    <w:rsid w:val="00080528"/>
    <w:rPr>
      <w:rFonts w:eastAsia="仿宋" w:cstheme="minorBid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1</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第五章 结果与讨论</dc:title>
  <dc:creator>OpenAI Codex</dc:creator>
  <cp:lastModifiedBy>zhengshen zhong</cp:lastModifiedBy>
  <cp:revision>3</cp:revision>
  <dcterms:created xsi:type="dcterms:W3CDTF">2026-03-23T17:13:00Z</dcterms:created>
  <dcterms:modified xsi:type="dcterms:W3CDTF">2026-03-24T04:45:00Z</dcterms:modified>
</cp:coreProperties>
</file>