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60" w:before="0" w:line="276"/>
      </w:pPr>
      <w:r>
        <w:rPr>
          <w:rFonts w:ascii="Calibri" w:cs="Calibri" w:eastAsia="Calibri" w:hAnsi="Calibri"/>
          <w:color w:val="595959"/>
          <w:sz w:val="28"/>
          <w:szCs w:val="28"/>
        </w:rPr>
        <w:t xml:space="preserve">Marktübersicht</w:t>
      </w:r>
    </w:p>
    <w:p>
      <w:pPr>
        <w:spacing w:after="120" w:before="0" w:line="276"/>
      </w:pPr>
      <w:r>
        <w:rPr>
          <w:rFonts w:ascii="Calibri" w:cs="Calibri" w:eastAsia="Calibri" w:hAnsi="Calibri"/>
          <w:b/>
          <w:bCs/>
          <w:color w:val="1F3A5F"/>
          <w:sz w:val="44"/>
          <w:szCs w:val="44"/>
        </w:rPr>
        <w:t xml:space="preserve">Manipulationssichere Foto- und Zustandsdokumentation</w:t>
      </w:r>
    </w:p>
    <w:p>
      <w:pPr>
        <w:spacing w:after="600" w:before="0" w:line="276"/>
      </w:pPr>
      <w:r>
        <w:rPr>
          <w:rFonts w:ascii="Calibri" w:cs="Calibri" w:eastAsia="Calibri" w:hAnsi="Calibri"/>
          <w:color w:val="595959"/>
          <w:sz w:val="26"/>
          <w:szCs w:val="26"/>
        </w:rPr>
        <w:t xml:space="preserve">Segmente, Bedarf, potenzielle Kunden und Multiplikatoren im deutschsprachigen Markt</w:t>
      </w:r>
    </w:p>
    <w:p>
      <w:pPr>
        <w:pBdr>
          <w:bottom w:val="single" w:color="2E75B6" w:sz="12" w:space="1"/>
        </w:pBdr>
        <w:spacing w:after="400"/>
      </w:pPr>
    </w:p>
    <w:p>
      <w:pPr>
        <w:spacing w:after="80" w:before="0" w:line="276"/>
      </w:pPr>
      <w:r>
        <w:rPr>
          <w:rFonts w:ascii="Calibri" w:cs="Calibri" w:eastAsia="Calibri" w:hAnsi="Calibri"/>
          <w:sz w:val="22"/>
          <w:szCs w:val="22"/>
        </w:rPr>
        <w:t xml:space="preserve">Ausgangspunkt: Erweiterung der DKH Abnahme-App über die Bauabnahme hinaus</w:t>
      </w:r>
    </w:p>
    <w:p>
      <w:pPr>
        <w:spacing w:after="80" w:before="0" w:line="276"/>
      </w:pPr>
      <w:r>
        <w:rPr>
          <w:rFonts w:ascii="Calibri" w:cs="Calibri" w:eastAsia="Calibri" w:hAnsi="Calibri"/>
          <w:sz w:val="22"/>
          <w:szCs w:val="22"/>
        </w:rPr>
        <w:t xml:space="preserve">Stand: September 2026</w:t>
      </w:r>
    </w:p>
    <w:p>
      <w:pPr>
        <w:spacing w:after="120" w:before="0" w:line="276"/>
      </w:pPr>
      <w:r>
        <w:rPr>
          <w:rFonts w:ascii="Calibri" w:cs="Calibri" w:eastAsia="Calibri" w:hAnsi="Calibri"/>
          <w:color w:val="595959"/>
          <w:sz w:val="22"/>
          <w:szCs w:val="22"/>
        </w:rPr>
        <w:t xml:space="preserve">Vertraulich – interne Arbeitsgrundlage</w:t>
      </w:r>
    </w:p>
    <w:p>
      <w:r>
        <w:br w:type="page"/>
      </w:r>
    </w:p>
    <w:p>
      <w:pPr>
        <w:pStyle w:val="Heading1"/>
        <w:keepNext/>
        <w:spacing w:after="200" w:before="360"/>
      </w:pPr>
      <w:r>
        <w:t xml:space="preserve">Inhalt</w:t>
      </w:r>
    </w:p>
    <w:p>
      <w:pPr>
        <w:spacing w:after="120" w:before="0" w:line="276"/>
      </w:pPr>
      <w:r>
        <w:rPr>
          <w:rFonts w:ascii="Calibri" w:cs="Calibri" w:eastAsia="Calibri" w:hAnsi="Calibri"/>
          <w:i/>
          <w:iCs/>
          <w:color w:val="595959"/>
          <w:sz w:val="18"/>
          <w:szCs w:val="18"/>
        </w:rPr>
        <w:t xml:space="preserve">Das Inhaltsverzeichnis aktualisiert sich in Word über Rechtsklick → Felder aktualisieren (oder F9).</w:t>
      </w:r>
    </w:p>
    <w:sdt>
      <w:sdtPr>
        <w:alias w:val="Inhalt"/>
      </w:sdtPr>
      <w:sdtContent>
        <w:p>
          <w:r>
            <w:fldChar w:fldCharType="begin" w:dirty="true"/>
            <w:instrText xml:space="preserve">TOC \h \o "1-2"</w:instrText>
            <w:fldChar w:fldCharType="separate"/>
          </w:r>
        </w:p>
        <w:p>
          <w:r>
            <w:fldChar w:fldCharType="end"/>
          </w:r>
        </w:p>
      </w:sdtContent>
    </w:sdt>
    <w:p>
      <w:r>
        <w:br w:type="page"/>
      </w:r>
    </w:p>
    <w:p>
      <w:pPr>
        <w:pStyle w:val="Heading1"/>
        <w:keepNext/>
        <w:spacing w:after="200" w:before="360"/>
      </w:pPr>
      <w:r>
        <w:t xml:space="preserve">1. Zusammenfassung</w:t>
      </w:r>
    </w:p>
    <w:p>
      <w:pPr>
        <w:spacing w:after="120" w:before="0" w:line="276"/>
      </w:pPr>
      <w:r>
        <w:rPr>
          <w:rFonts w:ascii="Calibri" w:cs="Calibri" w:eastAsia="Calibri" w:hAnsi="Calibri"/>
          <w:sz w:val="21"/>
          <w:szCs w:val="21"/>
        </w:rPr>
        <w:t xml:space="preserve">Generative KI kehrt den Beweiswert von Fotos um. Bis vor kurzem galt ein Foto vor Gericht, beim Versicherer oder bei der Förderstelle als glaubwürdig, solange nichts dagegen sprach. Seit Schadensbilder, Kontoauszüge und Zustandsfotos in Minuten gefälscht werden können, muss Echtheit aktiv belegt werden. Ein Markt für manipulationssichere Dokumentation entsteht überall dort, wo ein Foto Geld auslöst oder Haftung verschiebt und die Gegenseite einen Anreiz zum Schummeln hat.</w:t>
      </w:r>
    </w:p>
    <w:p>
      <w:pPr>
        <w:spacing w:after="120" w:before="0" w:line="276"/>
      </w:pPr>
      <w:r>
        <w:rPr>
          <w:rFonts w:ascii="Calibri" w:cs="Calibri" w:eastAsia="Calibri" w:hAnsi="Calibri"/>
          <w:sz w:val="21"/>
          <w:szCs w:val="21"/>
        </w:rPr>
        <w:t xml:space="preserve">Diese Übersicht arbeitet 33 Segmente in neun Feldern aus. Für jedes Segment sind Bedarf, Zahler, Auslöser, Wettbewerbsstand, konkrete potenzielle Kunden mit Zielrolle sowie Multiplikatoren und ein Einstiegsweg beschrieben. Alle Segmente sind nach Volumen, Schmerz, Wettbewerb und Nähe zur bestehenden Abnahme-App bewertet und priorisiert.</w:t>
      </w:r>
    </w:p>
    <w:p>
      <w:pPr>
        <w:pStyle w:val="Heading3"/>
        <w:keepNext/>
        <w:spacing w:after="100" w:before="220"/>
      </w:pPr>
      <w:r>
        <w:t xml:space="preserve">Kernergebnisse</w:t>
      </w:r>
    </w:p>
    <w:p>
      <w:pPr>
        <w:pStyle w:val="ListParagraph"/>
        <w:numPr>
          <w:ilvl w:val="0"/>
          <w:numId w:val="2"/>
        </w:numPr>
        <w:spacing w:after="60" w:line="276"/>
      </w:pPr>
      <w:r>
        <w:rPr>
          <w:rFonts w:ascii="Calibri" w:cs="Calibri" w:eastAsia="Calibri" w:hAnsi="Calibri"/>
          <w:sz w:val="21"/>
          <w:szCs w:val="21"/>
        </w:rPr>
        <w:t xml:space="preserve">Priorität A (neun Segmente): Schadenversicherer, Bauabnahme, Wohnungsübergabe, Fahrzeugrückgabe, Gerätevermietung, Retourenbetrug im E-Commerce, Winterdienst, kommunale Verkehrssicherungspflicht, Förderprogramme. Diese Felder vereinen hohen Schmerz, geringe oder lückenhafte Konkurrenz und ein Protokoll, das der Bauabnahme sehr nahe ist.</w:t>
      </w:r>
    </w:p>
    <w:p>
      <w:pPr>
        <w:pStyle w:val="ListParagraph"/>
        <w:numPr>
          <w:ilvl w:val="0"/>
          <w:numId w:val="2"/>
        </w:numPr>
        <w:spacing w:after="60" w:line="276"/>
      </w:pPr>
      <w:r>
        <w:rPr>
          <w:rFonts w:ascii="Calibri" w:cs="Calibri" w:eastAsia="Calibri" w:hAnsi="Calibri"/>
          <w:sz w:val="21"/>
          <w:szCs w:val="21"/>
        </w:rPr>
        <w:t xml:space="preserve">Die Erfassungsschicht (Hash, Zeitstempel, Gerätesignatur) wird durch C2PA in Smartphones und Kameras zur Commodity. Der verkaufbare Wert liegt im gerichtsfesten Verfahren: qualifizierter Zeitstempel nach eIDAS, dokumentierter Prozess, Rollen, Unterschriften, prüfbares Exportpaket.</w:t>
      </w:r>
    </w:p>
    <w:p>
      <w:pPr>
        <w:pStyle w:val="ListParagraph"/>
        <w:numPr>
          <w:ilvl w:val="0"/>
          <w:numId w:val="2"/>
        </w:numPr>
        <w:spacing w:after="60" w:line="276"/>
      </w:pPr>
      <w:r>
        <w:rPr>
          <w:rFonts w:ascii="Calibri" w:cs="Calibri" w:eastAsia="Calibri" w:hAnsi="Calibri"/>
          <w:sz w:val="21"/>
          <w:szCs w:val="21"/>
        </w:rPr>
        <w:t xml:space="preserve">Vertikal schlägt horizontal. Generische Beweisfoto-Anbieter bleiben klein; Truepic wuchs erst mit dem Fokus auf Versicherer. Für jedes Segment ist deshalb eine eigene Checkliste, ein eigener Multiplikator und eine eigene Prüfinstanz beschrieben.</w:t>
      </w:r>
    </w:p>
    <w:p>
      <w:pPr>
        <w:pStyle w:val="ListParagraph"/>
        <w:numPr>
          <w:ilvl w:val="0"/>
          <w:numId w:val="2"/>
        </w:numPr>
        <w:spacing w:after="60" w:line="276"/>
      </w:pPr>
      <w:r>
        <w:rPr>
          <w:rFonts w:ascii="Calibri" w:cs="Calibri" w:eastAsia="Calibri" w:hAnsi="Calibri"/>
          <w:sz w:val="21"/>
          <w:szCs w:val="21"/>
        </w:rPr>
        <w:t xml:space="preserve">Multiplikatoren sind wichtiger als Einzelkunden: Versicherer, Verbände, Zahlstellen und Software-Plattformen können einen Nachweisstandard für tausende Betriebe gleichzeitig vorgeben.</w:t>
      </w:r>
    </w:p>
    <w:p>
      <w:pPr>
        <w:pStyle w:val="Heading3"/>
        <w:keepNext/>
        <w:spacing w:after="100" w:before="220"/>
      </w:pPr>
      <w:r>
        <w:t xml:space="preserve">Empfohlene Reihenfolge</w:t>
      </w:r>
    </w:p>
    <w:p>
      <w:pPr>
        <w:pStyle w:val="ListParagraph"/>
        <w:numPr>
          <w:ilvl w:val="0"/>
          <w:numId w:val="3"/>
        </w:numPr>
        <w:spacing w:after="60" w:line="276"/>
      </w:pPr>
      <w:r>
        <w:rPr>
          <w:rFonts w:ascii="Calibri" w:cs="Calibri" w:eastAsia="Calibri" w:hAnsi="Calibri"/>
          <w:sz w:val="21"/>
          <w:szCs w:val="21"/>
        </w:rPr>
        <w:t xml:space="preserve">Welle 1 (0–6 Monate): Wohnungsübergabe und Gerätevermietung als direkte Protokoll-Ableger der Bauabnahme; parallel Winterdienst als Saisonprodukt für den Winter 2026/27.</w:t>
      </w:r>
    </w:p>
    <w:p>
      <w:pPr>
        <w:pStyle w:val="ListParagraph"/>
        <w:numPr>
          <w:ilvl w:val="0"/>
          <w:numId w:val="3"/>
        </w:numPr>
        <w:spacing w:after="60" w:line="276"/>
      </w:pPr>
      <w:r>
        <w:rPr>
          <w:rFonts w:ascii="Calibri" w:cs="Calibri" w:eastAsia="Calibri" w:hAnsi="Calibri"/>
          <w:sz w:val="21"/>
          <w:szCs w:val="21"/>
        </w:rPr>
        <w:t xml:space="preserve">Welle 2 (6–18 Monate): Fahrzeugrückgabe über Carsharing und Leasing, kommunale Verkehrssicherungspflicht über Kommunalversicherer, Fördernachweis über Installateure und Förderbanken.</w:t>
      </w:r>
    </w:p>
    <w:p>
      <w:pPr>
        <w:pStyle w:val="ListParagraph"/>
        <w:numPr>
          <w:ilvl w:val="0"/>
          <w:numId w:val="3"/>
        </w:numPr>
        <w:spacing w:after="60" w:line="276"/>
      </w:pPr>
      <w:r>
        <w:rPr>
          <w:rFonts w:ascii="Calibri" w:cs="Calibri" w:eastAsia="Calibri" w:hAnsi="Calibri"/>
          <w:sz w:val="21"/>
          <w:szCs w:val="21"/>
        </w:rPr>
        <w:t xml:space="preserve">Welle 3 (ab 18 Monaten): Versicherer als Standardsetzer, Retourenbetrug, Logistik, Sachverständige, Drohneninspektion.</w:t>
      </w:r>
    </w:p>
    <w:p>
      <w:pPr>
        <w:pStyle w:val="ListParagraph"/>
        <w:numPr>
          <w:ilvl w:val="0"/>
          <w:numId w:val="3"/>
        </w:numPr>
        <w:spacing w:after="60" w:line="276"/>
      </w:pPr>
      <w:r>
        <w:rPr>
          <w:rFonts w:ascii="Calibri" w:cs="Calibri" w:eastAsia="Calibri" w:hAnsi="Calibri"/>
          <w:sz w:val="21"/>
          <w:szCs w:val="21"/>
        </w:rPr>
        <w:t xml:space="preserve">Beobachten: Justiz, Pflege, Forschung, Medien, KYC. Echter Bedarf, aber lange Zyklen oder starke Plattformkonkurrenz.</w:t>
      </w:r>
    </w:p>
    <w:p>
      <w:pPr>
        <w:pStyle w:val="Heading1"/>
        <w:keepNext/>
        <w:spacing w:after="200" w:before="360"/>
      </w:pPr>
      <w:r>
        <w:t xml:space="preserve">2. Marktlogik und Bewertungskriterien</w:t>
      </w:r>
    </w:p>
    <w:p>
      <w:pPr>
        <w:pStyle w:val="Heading2"/>
        <w:keepNext/>
        <w:spacing w:after="140" w:before="300"/>
      </w:pPr>
      <w:r>
        <w:t xml:space="preserve">2.1 Warum der Markt jetzt entsteht</w:t>
      </w:r>
    </w:p>
    <w:p>
      <w:pPr>
        <w:pStyle w:val="ListParagraph"/>
        <w:numPr>
          <w:ilvl w:val="0"/>
          <w:numId w:val="2"/>
        </w:numPr>
        <w:spacing w:after="60" w:line="276"/>
      </w:pPr>
      <w:r>
        <w:rPr>
          <w:rFonts w:ascii="Calibri" w:cs="Calibri" w:eastAsia="Calibri" w:hAnsi="Calibri"/>
          <w:sz w:val="21"/>
          <w:szCs w:val="21"/>
        </w:rPr>
        <w:t xml:space="preserve">Bildgeneratoren erzeugen fotorealistische Schadens-, Zustands- und Dokumentbilder ohne Fachkenntnis. Versicherer, Zahlstellen und Gerichte können Echtheit nicht mehr unterstellen.</w:t>
      </w:r>
    </w:p>
    <w:p>
      <w:pPr>
        <w:pStyle w:val="ListParagraph"/>
        <w:numPr>
          <w:ilvl w:val="0"/>
          <w:numId w:val="2"/>
        </w:numPr>
        <w:spacing w:after="60" w:line="276"/>
      </w:pPr>
      <w:r>
        <w:rPr>
          <w:rFonts w:ascii="Calibri" w:cs="Calibri" w:eastAsia="Calibri" w:hAnsi="Calibri"/>
          <w:sz w:val="21"/>
          <w:szCs w:val="21"/>
        </w:rPr>
        <w:t xml:space="preserve">Regulierung zieht nach: EU AI Act (Kennzeichnung), eIDAS 2.0 (qualifizierte Zeitstempel mit Beweisvermutung), elektronische Akte in der Justiz, GAP-Fotopflicht in der Agrarförderung, Lieferkettengesetz.</w:t>
      </w:r>
    </w:p>
    <w:p>
      <w:pPr>
        <w:pStyle w:val="ListParagraph"/>
        <w:numPr>
          <w:ilvl w:val="0"/>
          <w:numId w:val="2"/>
        </w:numPr>
        <w:spacing w:after="60" w:line="276"/>
      </w:pPr>
      <w:r>
        <w:rPr>
          <w:rFonts w:ascii="Calibri" w:cs="Calibri" w:eastAsia="Calibri" w:hAnsi="Calibri"/>
          <w:sz w:val="21"/>
          <w:szCs w:val="21"/>
        </w:rPr>
        <w:t xml:space="preserve">Fernprozesse sind Standard geworden: Fernregulierung, Selbstablesung, Selbstübergabe im Carsharing, Fotoupload bei Förderung. Überall fehlt die Person vor Ort, die früher die Echtheit bezeugt hat.</w:t>
      </w:r>
    </w:p>
    <w:p>
      <w:pPr>
        <w:pStyle w:val="ListParagraph"/>
        <w:numPr>
          <w:ilvl w:val="0"/>
          <w:numId w:val="2"/>
        </w:numPr>
        <w:spacing w:after="60" w:line="276"/>
      </w:pPr>
      <w:r>
        <w:rPr>
          <w:rFonts w:ascii="Calibri" w:cs="Calibri" w:eastAsia="Calibri" w:hAnsi="Calibri"/>
          <w:sz w:val="21"/>
          <w:szCs w:val="21"/>
        </w:rPr>
        <w:t xml:space="preserve">Kamerahersteller und Smartphone-Plattformen liefern C2PA Content Credentials ab Werk. Damit wird die reine Signatur billig, der Bedarf an verwertbaren Verfahren steigt.</w:t>
      </w:r>
    </w:p>
    <w:p>
      <w:pPr>
        <w:pStyle w:val="Heading2"/>
        <w:keepNext/>
        <w:spacing w:after="140" w:before="300"/>
      </w:pPr>
      <w:r>
        <w:t xml:space="preserve">2.2 Woran man Bedarf erkennt</w:t>
      </w:r>
    </w:p>
    <w:tbl>
      <w:tblPr>
        <w:tblW w:type="dxa" w:w="9638"/>
        <w:tblBorders>
          <w:top w:val="none" w:color="FFFFFF" w:sz="0"/>
          <w:left w:val="single" w:color="2E75B6" w:sz="24"/>
          <w:bottom w:val="none" w:color="FFFFFF" w:sz="0"/>
          <w:right w:val="none" w:color="FFFFFF" w:sz="0"/>
          <w:insideH w:val="none" w:color="FFFFFF" w:sz="0"/>
          <w:insideV w:val="none" w:color="FFFFFF" w:sz="0"/>
        </w:tblBorders>
      </w:tblPr>
      <w:tblGrid>
        <w:gridCol w:w="9638"/>
      </w:tblGrid>
      <w:tr>
        <w:tc>
          <w:tcPr>
            <w:tcW w:type="dxa" w:w="9638"/>
            <w:shd w:fill="EAF1F8" w:color="auto" w:val="clear"/>
            <w:tcMar>
              <w:top w:type="dxa" w:w="120"/>
              <w:left w:type="dxa" w:w="200"/>
              <w:bottom w:type="dxa" w:w="120"/>
              <w:right w:type="dxa" w:w="200"/>
            </w:tcMar>
          </w:tcPr>
          <w:p>
            <w:pPr>
              <w:spacing w:after="80" w:before="0" w:line="276"/>
            </w:pPr>
            <w:r>
              <w:rPr>
                <w:rFonts w:ascii="Calibri" w:cs="Calibri" w:eastAsia="Calibri" w:hAnsi="Calibri"/>
                <w:sz w:val="21"/>
                <w:szCs w:val="21"/>
              </w:rPr>
              <w:t xml:space="preserve">Drei Signale sind zuverlässig:</w:t>
            </w:r>
          </w:p>
          <w:p>
            <w:pPr>
              <w:pStyle w:val="ListParagraph"/>
              <w:numPr>
                <w:ilvl w:val="0"/>
                <w:numId w:val="2"/>
              </w:numPr>
              <w:spacing w:after="60" w:line="276"/>
            </w:pPr>
            <w:r>
              <w:rPr>
                <w:rFonts w:ascii="Calibri" w:cs="Calibri" w:eastAsia="Calibri" w:hAnsi="Calibri"/>
                <w:sz w:val="21"/>
                <w:szCs w:val="21"/>
              </w:rPr>
              <w:t xml:space="preserve">Menschen improvisieren bereits: Foto mit Tageszeitung, WhatsApp mit Zeitstempel, Zeuge daneben, Video vom Packvorgang.</w:t>
            </w:r>
          </w:p>
          <w:p>
            <w:pPr>
              <w:pStyle w:val="ListParagraph"/>
              <w:numPr>
                <w:ilvl w:val="0"/>
                <w:numId w:val="2"/>
              </w:numPr>
              <w:spacing w:after="60" w:line="276"/>
            </w:pPr>
            <w:r>
              <w:rPr>
                <w:rFonts w:ascii="Calibri" w:cs="Calibri" w:eastAsia="Calibri" w:hAnsi="Calibri"/>
                <w:sz w:val="21"/>
                <w:szCs w:val="21"/>
              </w:rPr>
              <w:t xml:space="preserve">Es gibt eine Prüfinstanz, die Fotos ablehnen kann: Versicherer, Zahlstelle, Gericht, Plattform, Auditor, Aufsicht.</w:t>
            </w:r>
          </w:p>
          <w:p>
            <w:pPr>
              <w:pStyle w:val="ListParagraph"/>
              <w:numPr>
                <w:ilvl w:val="0"/>
                <w:numId w:val="2"/>
              </w:numPr>
              <w:spacing w:after="60" w:line="276"/>
            </w:pPr>
            <w:r>
              <w:rPr>
                <w:rFonts w:ascii="Calibri" w:cs="Calibri" w:eastAsia="Calibri" w:hAnsi="Calibri"/>
                <w:sz w:val="21"/>
                <w:szCs w:val="21"/>
              </w:rPr>
              <w:t xml:space="preserve">Der Zustand verändert sich schnell und ist nachträglich nicht rekonstruierbar: Schnee, Kadaver, Hagel, Retouren, Unfallstellen, Wunden.</w:t>
            </w:r>
          </w:p>
        </w:tc>
      </w:tr>
    </w:tbl>
    <w:p>
      <w:pPr>
        <w:spacing w:after="120"/>
      </w:pPr>
    </w:p>
    <w:p>
      <w:pPr>
        <w:pStyle w:val="Heading2"/>
        <w:keepNext/>
        <w:spacing w:after="140" w:before="300"/>
      </w:pPr>
      <w:r>
        <w:t xml:space="preserve">2.3 Bewertungskriterien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000"/>
        <w:gridCol w:w="5238"/>
        <w:gridCol w:w="2400"/>
      </w:tblGrid>
      <w:tr>
        <w:trPr>
          <w:cantSplit/>
          <w:tblHeader/>
        </w:trPr>
        <w:tc>
          <w:tcPr>
            <w:tcW w:type="dxa" w:w="20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Kriterium</w:t>
            </w:r>
          </w:p>
        </w:tc>
        <w:tc>
          <w:tcPr>
            <w:tcW w:type="dxa" w:w="5238"/>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Bedeutung</w:t>
            </w:r>
          </w:p>
        </w:tc>
        <w:tc>
          <w:tcPr>
            <w:tcW w:type="dxa" w:w="24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Skala</w:t>
            </w:r>
          </w:p>
        </w:tc>
      </w:tr>
      <w:tr>
        <w:trPr>
          <w:cantSplit/>
        </w:trPr>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Volumen</w:t>
            </w:r>
          </w:p>
        </w:tc>
        <w:tc>
          <w:tcPr>
            <w:tcW w:type="dxa" w:w="5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Anzahl beweisrelevanter Vorgänge pro Jahr im deutschsprachigen Raum</w:t>
            </w:r>
          </w:p>
        </w:tc>
        <w:tc>
          <w:tcPr>
            <w:tcW w:type="dxa" w:w="24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niedrig / mittel / hoch / sehr hoch</w:t>
            </w:r>
          </w:p>
        </w:tc>
      </w:tr>
      <w:tr>
        <w:trPr>
          <w:cantSplit/>
        </w:trPr>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Schmerz</w:t>
            </w:r>
          </w:p>
        </w:tc>
        <w:tc>
          <w:tcPr>
            <w:tcW w:type="dxa" w:w="5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Wie teuer und häufig ist der Streit ohne Beweis; gibt es Haftung oder Regulierung</w:t>
            </w:r>
          </w:p>
        </w:tc>
        <w:tc>
          <w:tcPr>
            <w:tcW w:type="dxa" w:w="24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1 (gering) bis 5 (existenziell)</w:t>
            </w:r>
          </w:p>
        </w:tc>
      </w:tr>
      <w:tr>
        <w:trPr>
          <w:cantSplit/>
        </w:trPr>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Wettbewerb</w:t>
            </w:r>
          </w:p>
        </w:tc>
        <w:tc>
          <w:tcPr>
            <w:tcW w:type="dxa" w:w="5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Gibt es Anbieter mit Beweisschicht im Segment; wie dicht ist die angrenzende Software</w:t>
            </w:r>
          </w:p>
        </w:tc>
        <w:tc>
          <w:tcPr>
            <w:tcW w:type="dxa" w:w="24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niedrig / mittel / hoch</w:t>
            </w:r>
          </w:p>
        </w:tc>
      </w:tr>
      <w:tr>
        <w:trPr>
          <w:cantSplit/>
        </w:trPr>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Nähe zur Abnahme-App</w:t>
            </w:r>
          </w:p>
        </w:tc>
        <w:tc>
          <w:tcPr>
            <w:tcW w:type="dxa" w:w="5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Wie viel des bestehenden Protokolls (Checkliste, Beteiligte, Unterschrift, Export) ist wiederverwendbar</w:t>
            </w:r>
          </w:p>
        </w:tc>
        <w:tc>
          <w:tcPr>
            <w:tcW w:type="dxa" w:w="24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niedrig / mittel / hoch / sehr hoch</w:t>
            </w:r>
          </w:p>
        </w:tc>
      </w:tr>
      <w:tr>
        <w:trPr>
          <w:cantSplit/>
        </w:trPr>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Priorität</w:t>
            </w:r>
          </w:p>
        </w:tc>
        <w:tc>
          <w:tcPr>
            <w:tcW w:type="dxa" w:w="5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Gesamteinschätzung aus den vier Kriterien und Zugangsweg</w:t>
            </w:r>
          </w:p>
        </w:tc>
        <w:tc>
          <w:tcPr>
            <w:tcW w:type="dxa" w:w="24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A / B / C</w:t>
            </w:r>
          </w:p>
        </w:tc>
      </w:tr>
    </w:tbl>
    <w:p>
      <w:r>
        <w:br w:type="page"/>
      </w:r>
    </w:p>
    <w:p>
      <w:pPr>
        <w:pStyle w:val="Heading1"/>
        <w:keepNext/>
        <w:spacing w:after="200" w:before="360"/>
      </w:pPr>
      <w:r>
        <w:t xml:space="preserve">3. Bewertungsmatrix aller Segmente</w:t>
      </w:r>
    </w:p>
    <w:p>
      <w:pPr>
        <w:spacing w:after="120" w:before="0" w:line="276"/>
      </w:pPr>
      <w:r>
        <w:rPr>
          <w:rFonts w:ascii="Calibri" w:cs="Calibri" w:eastAsia="Calibri" w:hAnsi="Calibri"/>
          <w:sz w:val="21"/>
          <w:szCs w:val="21"/>
        </w:rPr>
        <w:t xml:space="preserve">Die Matrix fasst alle 33 Segmente zusammen. Die Einzelbewertungen sind in den Kapiteln 4 bis 12 begründet.</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700"/>
        <w:gridCol w:w="3538"/>
        <w:gridCol w:w="1100"/>
        <w:gridCol w:w="900"/>
        <w:gridCol w:w="1100"/>
        <w:gridCol w:w="1300"/>
        <w:gridCol w:w="1000"/>
      </w:tblGrid>
      <w:tr>
        <w:trPr>
          <w:cantSplit/>
          <w:tblHeader/>
        </w:trPr>
        <w:tc>
          <w:tcPr>
            <w:tcW w:type="dxa" w:w="7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Nr.</w:t>
            </w:r>
          </w:p>
        </w:tc>
        <w:tc>
          <w:tcPr>
            <w:tcW w:type="dxa" w:w="3538"/>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Segment</w:t>
            </w:r>
          </w:p>
        </w:tc>
        <w:tc>
          <w:tcPr>
            <w:tcW w:type="dxa" w:w="11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Volumen</w:t>
            </w:r>
          </w:p>
        </w:tc>
        <w:tc>
          <w:tcPr>
            <w:tcW w:type="dxa" w:w="9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Schmerz</w:t>
            </w:r>
          </w:p>
        </w:tc>
        <w:tc>
          <w:tcPr>
            <w:tcW w:type="dxa" w:w="11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Wettbewerb</w:t>
            </w:r>
          </w:p>
        </w:tc>
        <w:tc>
          <w:tcPr>
            <w:tcW w:type="dxa" w:w="13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Nähe App</w:t>
            </w:r>
          </w:p>
        </w:tc>
        <w:tc>
          <w:tcPr>
            <w:tcW w:type="dxa" w:w="10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Priorität</w:t>
            </w:r>
          </w:p>
        </w:tc>
      </w:tr>
      <w:tr>
        <w:trPr>
          <w:cantSplit/>
        </w:trPr>
        <w:tc>
          <w:tcPr>
            <w:tcW w:type="dxa" w:w="700"/>
            <w:tcMar>
              <w:top w:type="dxa" w:w="60"/>
              <w:left w:type="dxa" w:w="90"/>
              <w:bottom w:type="dxa" w:w="60"/>
              <w:right w:type="dxa" w:w="90"/>
            </w:tcMar>
            <w:vAlign w:val="top"/>
          </w:tcPr>
          <w:p>
            <w:pPr>
              <w:spacing w:after="0" w:line="252"/>
            </w:pPr>
            <w:r>
              <w:rPr>
                <w:rFonts w:ascii="Calibri" w:cs="Calibri" w:eastAsia="Calibri" w:hAnsi="Calibri"/>
                <w:b w:val="false"/>
                <w:bCs w:val="false"/>
                <w:sz w:val="18"/>
                <w:szCs w:val="18"/>
              </w:rPr>
              <w:t xml:space="preserve">A1</w:t>
            </w:r>
          </w:p>
        </w:tc>
        <w:tc>
          <w:tcPr>
            <w:tcW w:type="dxa" w:w="3538"/>
            <w:tcMar>
              <w:top w:type="dxa" w:w="60"/>
              <w:left w:type="dxa" w:w="90"/>
              <w:bottom w:type="dxa" w:w="60"/>
              <w:right w:type="dxa" w:w="90"/>
            </w:tcMar>
            <w:vAlign w:val="top"/>
          </w:tcPr>
          <w:p>
            <w:pPr>
              <w:spacing w:after="0" w:line="252"/>
            </w:pPr>
            <w:r>
              <w:rPr>
                <w:rFonts w:ascii="Calibri" w:cs="Calibri" w:eastAsia="Calibri" w:hAnsi="Calibri"/>
                <w:b w:val="false"/>
                <w:bCs w:val="false"/>
                <w:sz w:val="18"/>
                <w:szCs w:val="18"/>
              </w:rPr>
              <w:t xml:space="preserve">Schadenversicherer (Sach, Haftpflicht, Kfz)</w:t>
            </w:r>
          </w:p>
        </w:tc>
        <w:tc>
          <w:tcPr>
            <w:tcW w:type="dxa" w:w="1100"/>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hoch</w:t>
            </w:r>
          </w:p>
        </w:tc>
        <w:tc>
          <w:tcPr>
            <w:tcW w:type="dxa" w:w="900"/>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4</w:t>
            </w:r>
          </w:p>
        </w:tc>
        <w:tc>
          <w:tcPr>
            <w:tcW w:type="dxa" w:w="1100"/>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mittel</w:t>
            </w:r>
          </w:p>
        </w:tc>
        <w:tc>
          <w:tcPr>
            <w:tcW w:type="dxa" w:w="1300"/>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mittel</w:t>
            </w:r>
          </w:p>
        </w:tc>
        <w:tc>
          <w:tcPr>
            <w:tcW w:type="dxa" w:w="1000"/>
            <w:shd w:fill="D9EAD3"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8"/>
                <w:szCs w:val="18"/>
              </w:rPr>
              <w:t xml:space="preserve">A</w:t>
            </w:r>
          </w:p>
        </w:tc>
      </w:tr>
      <w:tr>
        <w:trPr>
          <w:cantSplit/>
        </w:trPr>
        <w:tc>
          <w:tcPr>
            <w:tcW w:type="dxa" w:w="700"/>
            <w:shd w:fill="F2F6FA" w:color="auto" w:val="clear"/>
            <w:tcMar>
              <w:top w:type="dxa" w:w="60"/>
              <w:left w:type="dxa" w:w="90"/>
              <w:bottom w:type="dxa" w:w="60"/>
              <w:right w:type="dxa" w:w="90"/>
            </w:tcMar>
            <w:vAlign w:val="top"/>
          </w:tcPr>
          <w:p>
            <w:pPr>
              <w:spacing w:after="0" w:line="252"/>
            </w:pPr>
            <w:r>
              <w:rPr>
                <w:rFonts w:ascii="Calibri" w:cs="Calibri" w:eastAsia="Calibri" w:hAnsi="Calibri"/>
                <w:b w:val="false"/>
                <w:bCs w:val="false"/>
                <w:sz w:val="18"/>
                <w:szCs w:val="18"/>
              </w:rPr>
              <w:t xml:space="preserve">B1</w:t>
            </w:r>
          </w:p>
        </w:tc>
        <w:tc>
          <w:tcPr>
            <w:tcW w:type="dxa" w:w="3538"/>
            <w:shd w:fill="F2F6FA" w:color="auto" w:val="clear"/>
            <w:tcMar>
              <w:top w:type="dxa" w:w="60"/>
              <w:left w:type="dxa" w:w="90"/>
              <w:bottom w:type="dxa" w:w="60"/>
              <w:right w:type="dxa" w:w="90"/>
            </w:tcMar>
            <w:vAlign w:val="top"/>
          </w:tcPr>
          <w:p>
            <w:pPr>
              <w:spacing w:after="0" w:line="252"/>
            </w:pPr>
            <w:r>
              <w:rPr>
                <w:rFonts w:ascii="Calibri" w:cs="Calibri" w:eastAsia="Calibri" w:hAnsi="Calibri"/>
                <w:b w:val="false"/>
                <w:bCs w:val="false"/>
                <w:sz w:val="18"/>
                <w:szCs w:val="18"/>
              </w:rPr>
              <w:t xml:space="preserve">Bauabnahme, Mängelmanagement, Gewährleistung</w:t>
            </w:r>
          </w:p>
        </w:tc>
        <w:tc>
          <w:tcPr>
            <w:tcW w:type="dxa" w:w="1100"/>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hoch</w:t>
            </w:r>
          </w:p>
        </w:tc>
        <w:tc>
          <w:tcPr>
            <w:tcW w:type="dxa" w:w="900"/>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4</w:t>
            </w:r>
          </w:p>
        </w:tc>
        <w:tc>
          <w:tcPr>
            <w:tcW w:type="dxa" w:w="1100"/>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hoch</w:t>
            </w:r>
          </w:p>
        </w:tc>
        <w:tc>
          <w:tcPr>
            <w:tcW w:type="dxa" w:w="1300"/>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sehr hoch</w:t>
            </w:r>
          </w:p>
        </w:tc>
        <w:tc>
          <w:tcPr>
            <w:tcW w:type="dxa" w:w="1000"/>
            <w:shd w:fill="D9EAD3"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8"/>
                <w:szCs w:val="18"/>
              </w:rPr>
              <w:t xml:space="preserve">A</w:t>
            </w:r>
          </w:p>
        </w:tc>
      </w:tr>
      <w:tr>
        <w:trPr>
          <w:cantSplit/>
        </w:trPr>
        <w:tc>
          <w:tcPr>
            <w:tcW w:type="dxa" w:w="700"/>
            <w:tcMar>
              <w:top w:type="dxa" w:w="60"/>
              <w:left w:type="dxa" w:w="90"/>
              <w:bottom w:type="dxa" w:w="60"/>
              <w:right w:type="dxa" w:w="90"/>
            </w:tcMar>
            <w:vAlign w:val="top"/>
          </w:tcPr>
          <w:p>
            <w:pPr>
              <w:spacing w:after="0" w:line="252"/>
            </w:pPr>
            <w:r>
              <w:rPr>
                <w:rFonts w:ascii="Calibri" w:cs="Calibri" w:eastAsia="Calibri" w:hAnsi="Calibri"/>
                <w:b w:val="false"/>
                <w:bCs w:val="false"/>
                <w:sz w:val="18"/>
                <w:szCs w:val="18"/>
              </w:rPr>
              <w:t xml:space="preserve">B2</w:t>
            </w:r>
          </w:p>
        </w:tc>
        <w:tc>
          <w:tcPr>
            <w:tcW w:type="dxa" w:w="3538"/>
            <w:tcMar>
              <w:top w:type="dxa" w:w="60"/>
              <w:left w:type="dxa" w:w="90"/>
              <w:bottom w:type="dxa" w:w="60"/>
              <w:right w:type="dxa" w:w="90"/>
            </w:tcMar>
            <w:vAlign w:val="top"/>
          </w:tcPr>
          <w:p>
            <w:pPr>
              <w:spacing w:after="0" w:line="252"/>
            </w:pPr>
            <w:r>
              <w:rPr>
                <w:rFonts w:ascii="Calibri" w:cs="Calibri" w:eastAsia="Calibri" w:hAnsi="Calibri"/>
                <w:b w:val="false"/>
                <w:bCs w:val="false"/>
                <w:sz w:val="18"/>
                <w:szCs w:val="18"/>
              </w:rPr>
              <w:t xml:space="preserve">Hausverwaltung, Wohnungsübergabe, Kaution</w:t>
            </w:r>
          </w:p>
        </w:tc>
        <w:tc>
          <w:tcPr>
            <w:tcW w:type="dxa" w:w="1100"/>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sehr hoch</w:t>
            </w:r>
          </w:p>
        </w:tc>
        <w:tc>
          <w:tcPr>
            <w:tcW w:type="dxa" w:w="900"/>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4</w:t>
            </w:r>
          </w:p>
        </w:tc>
        <w:tc>
          <w:tcPr>
            <w:tcW w:type="dxa" w:w="1100"/>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mittel</w:t>
            </w:r>
          </w:p>
        </w:tc>
        <w:tc>
          <w:tcPr>
            <w:tcW w:type="dxa" w:w="1300"/>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sehr hoch</w:t>
            </w:r>
          </w:p>
        </w:tc>
        <w:tc>
          <w:tcPr>
            <w:tcW w:type="dxa" w:w="1000"/>
            <w:shd w:fill="D9EAD3"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8"/>
                <w:szCs w:val="18"/>
              </w:rPr>
              <w:t xml:space="preserve">A</w:t>
            </w:r>
          </w:p>
        </w:tc>
      </w:tr>
      <w:tr>
        <w:trPr>
          <w:cantSplit/>
        </w:trPr>
        <w:tc>
          <w:tcPr>
            <w:tcW w:type="dxa" w:w="700"/>
            <w:shd w:fill="F2F6FA" w:color="auto" w:val="clear"/>
            <w:tcMar>
              <w:top w:type="dxa" w:w="60"/>
              <w:left w:type="dxa" w:w="90"/>
              <w:bottom w:type="dxa" w:w="60"/>
              <w:right w:type="dxa" w:w="90"/>
            </w:tcMar>
            <w:vAlign w:val="top"/>
          </w:tcPr>
          <w:p>
            <w:pPr>
              <w:spacing w:after="0" w:line="252"/>
            </w:pPr>
            <w:r>
              <w:rPr>
                <w:rFonts w:ascii="Calibri" w:cs="Calibri" w:eastAsia="Calibri" w:hAnsi="Calibri"/>
                <w:b w:val="false"/>
                <w:bCs w:val="false"/>
                <w:sz w:val="18"/>
                <w:szCs w:val="18"/>
              </w:rPr>
              <w:t xml:space="preserve">B3</w:t>
            </w:r>
          </w:p>
        </w:tc>
        <w:tc>
          <w:tcPr>
            <w:tcW w:type="dxa" w:w="3538"/>
            <w:shd w:fill="F2F6FA" w:color="auto" w:val="clear"/>
            <w:tcMar>
              <w:top w:type="dxa" w:w="60"/>
              <w:left w:type="dxa" w:w="90"/>
              <w:bottom w:type="dxa" w:w="60"/>
              <w:right w:type="dxa" w:w="90"/>
            </w:tcMar>
            <w:vAlign w:val="top"/>
          </w:tcPr>
          <w:p>
            <w:pPr>
              <w:spacing w:after="0" w:line="252"/>
            </w:pPr>
            <w:r>
              <w:rPr>
                <w:rFonts w:ascii="Calibri" w:cs="Calibri" w:eastAsia="Calibri" w:hAnsi="Calibri"/>
                <w:b w:val="false"/>
                <w:bCs w:val="false"/>
                <w:sz w:val="18"/>
                <w:szCs w:val="18"/>
              </w:rPr>
              <w:t xml:space="preserve">Immobilienanzeigen und Exposéfotos</w:t>
            </w:r>
          </w:p>
        </w:tc>
        <w:tc>
          <w:tcPr>
            <w:tcW w:type="dxa" w:w="1100"/>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hoch</w:t>
            </w:r>
          </w:p>
        </w:tc>
        <w:tc>
          <w:tcPr>
            <w:tcW w:type="dxa" w:w="900"/>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2</w:t>
            </w:r>
          </w:p>
        </w:tc>
        <w:tc>
          <w:tcPr>
            <w:tcW w:type="dxa" w:w="1100"/>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niedrig</w:t>
            </w:r>
          </w:p>
        </w:tc>
        <w:tc>
          <w:tcPr>
            <w:tcW w:type="dxa" w:w="1300"/>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mittel</w:t>
            </w:r>
          </w:p>
        </w:tc>
        <w:tc>
          <w:tcPr>
            <w:tcW w:type="dxa" w:w="1000"/>
            <w:shd w:fill="F4F4F4"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8"/>
                <w:szCs w:val="18"/>
              </w:rPr>
              <w:t xml:space="preserve">C</w:t>
            </w:r>
          </w:p>
        </w:tc>
      </w:tr>
      <w:tr>
        <w:trPr>
          <w:cantSplit/>
        </w:trPr>
        <w:tc>
          <w:tcPr>
            <w:tcW w:type="dxa" w:w="700"/>
            <w:tcMar>
              <w:top w:type="dxa" w:w="60"/>
              <w:left w:type="dxa" w:w="90"/>
              <w:bottom w:type="dxa" w:w="60"/>
              <w:right w:type="dxa" w:w="90"/>
            </w:tcMar>
            <w:vAlign w:val="top"/>
          </w:tcPr>
          <w:p>
            <w:pPr>
              <w:spacing w:after="0" w:line="252"/>
            </w:pPr>
            <w:r>
              <w:rPr>
                <w:rFonts w:ascii="Calibri" w:cs="Calibri" w:eastAsia="Calibri" w:hAnsi="Calibri"/>
                <w:b w:val="false"/>
                <w:bCs w:val="false"/>
                <w:sz w:val="18"/>
                <w:szCs w:val="18"/>
              </w:rPr>
              <w:t xml:space="preserve">B4</w:t>
            </w:r>
          </w:p>
        </w:tc>
        <w:tc>
          <w:tcPr>
            <w:tcW w:type="dxa" w:w="3538"/>
            <w:tcMar>
              <w:top w:type="dxa" w:w="60"/>
              <w:left w:type="dxa" w:w="90"/>
              <w:bottom w:type="dxa" w:w="60"/>
              <w:right w:type="dxa" w:w="90"/>
            </w:tcMar>
            <w:vAlign w:val="top"/>
          </w:tcPr>
          <w:p>
            <w:pPr>
              <w:spacing w:after="0" w:line="252"/>
            </w:pPr>
            <w:r>
              <w:rPr>
                <w:rFonts w:ascii="Calibri" w:cs="Calibri" w:eastAsia="Calibri" w:hAnsi="Calibri"/>
                <w:b w:val="false"/>
                <w:bCs w:val="false"/>
                <w:sz w:val="18"/>
                <w:szCs w:val="18"/>
              </w:rPr>
              <w:t xml:space="preserve">Messebau und Veranstaltungslocations</w:t>
            </w:r>
          </w:p>
        </w:tc>
        <w:tc>
          <w:tcPr>
            <w:tcW w:type="dxa" w:w="1100"/>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mittel</w:t>
            </w:r>
          </w:p>
        </w:tc>
        <w:tc>
          <w:tcPr>
            <w:tcW w:type="dxa" w:w="900"/>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3</w:t>
            </w:r>
          </w:p>
        </w:tc>
        <w:tc>
          <w:tcPr>
            <w:tcW w:type="dxa" w:w="1100"/>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niedrig</w:t>
            </w:r>
          </w:p>
        </w:tc>
        <w:tc>
          <w:tcPr>
            <w:tcW w:type="dxa" w:w="1300"/>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hoch</w:t>
            </w:r>
          </w:p>
        </w:tc>
        <w:tc>
          <w:tcPr>
            <w:tcW w:type="dxa" w:w="1000"/>
            <w:shd w:fill="FFF2CC"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8"/>
                <w:szCs w:val="18"/>
              </w:rPr>
              <w:t xml:space="preserve">B</w:t>
            </w:r>
          </w:p>
        </w:tc>
      </w:tr>
      <w:tr>
        <w:trPr>
          <w:cantSplit/>
        </w:trPr>
        <w:tc>
          <w:tcPr>
            <w:tcW w:type="dxa" w:w="700"/>
            <w:shd w:fill="F2F6FA" w:color="auto" w:val="clear"/>
            <w:tcMar>
              <w:top w:type="dxa" w:w="60"/>
              <w:left w:type="dxa" w:w="90"/>
              <w:bottom w:type="dxa" w:w="60"/>
              <w:right w:type="dxa" w:w="90"/>
            </w:tcMar>
            <w:vAlign w:val="top"/>
          </w:tcPr>
          <w:p>
            <w:pPr>
              <w:spacing w:after="0" w:line="252"/>
            </w:pPr>
            <w:r>
              <w:rPr>
                <w:rFonts w:ascii="Calibri" w:cs="Calibri" w:eastAsia="Calibri" w:hAnsi="Calibri"/>
                <w:b w:val="false"/>
                <w:bCs w:val="false"/>
                <w:sz w:val="18"/>
                <w:szCs w:val="18"/>
              </w:rPr>
              <w:t xml:space="preserve">C1</w:t>
            </w:r>
          </w:p>
        </w:tc>
        <w:tc>
          <w:tcPr>
            <w:tcW w:type="dxa" w:w="3538"/>
            <w:shd w:fill="F2F6FA" w:color="auto" w:val="clear"/>
            <w:tcMar>
              <w:top w:type="dxa" w:w="60"/>
              <w:left w:type="dxa" w:w="90"/>
              <w:bottom w:type="dxa" w:w="60"/>
              <w:right w:type="dxa" w:w="90"/>
            </w:tcMar>
            <w:vAlign w:val="top"/>
          </w:tcPr>
          <w:p>
            <w:pPr>
              <w:spacing w:after="0" w:line="252"/>
            </w:pPr>
            <w:r>
              <w:rPr>
                <w:rFonts w:ascii="Calibri" w:cs="Calibri" w:eastAsia="Calibri" w:hAnsi="Calibri"/>
                <w:b w:val="false"/>
                <w:bCs w:val="false"/>
                <w:sz w:val="18"/>
                <w:szCs w:val="18"/>
              </w:rPr>
              <w:t xml:space="preserve">Fahrzeugrückgabe (Leasing, Vermietung, Carsharing, Fahrzeuglogistik)</w:t>
            </w:r>
          </w:p>
        </w:tc>
        <w:tc>
          <w:tcPr>
            <w:tcW w:type="dxa" w:w="1100"/>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sehr hoch</w:t>
            </w:r>
          </w:p>
        </w:tc>
        <w:tc>
          <w:tcPr>
            <w:tcW w:type="dxa" w:w="900"/>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4</w:t>
            </w:r>
          </w:p>
        </w:tc>
        <w:tc>
          <w:tcPr>
            <w:tcW w:type="dxa" w:w="1100"/>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mittel</w:t>
            </w:r>
          </w:p>
        </w:tc>
        <w:tc>
          <w:tcPr>
            <w:tcW w:type="dxa" w:w="1300"/>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sehr hoch</w:t>
            </w:r>
          </w:p>
        </w:tc>
        <w:tc>
          <w:tcPr>
            <w:tcW w:type="dxa" w:w="1000"/>
            <w:shd w:fill="D9EAD3"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8"/>
                <w:szCs w:val="18"/>
              </w:rPr>
              <w:t xml:space="preserve">A</w:t>
            </w:r>
          </w:p>
        </w:tc>
      </w:tr>
      <w:tr>
        <w:trPr>
          <w:cantSplit/>
        </w:trPr>
        <w:tc>
          <w:tcPr>
            <w:tcW w:type="dxa" w:w="700"/>
            <w:tcMar>
              <w:top w:type="dxa" w:w="60"/>
              <w:left w:type="dxa" w:w="90"/>
              <w:bottom w:type="dxa" w:w="60"/>
              <w:right w:type="dxa" w:w="90"/>
            </w:tcMar>
            <w:vAlign w:val="top"/>
          </w:tcPr>
          <w:p>
            <w:pPr>
              <w:spacing w:after="0" w:line="252"/>
            </w:pPr>
            <w:r>
              <w:rPr>
                <w:rFonts w:ascii="Calibri" w:cs="Calibri" w:eastAsia="Calibri" w:hAnsi="Calibri"/>
                <w:b w:val="false"/>
                <w:bCs w:val="false"/>
                <w:sz w:val="18"/>
                <w:szCs w:val="18"/>
              </w:rPr>
              <w:t xml:space="preserve">C2</w:t>
            </w:r>
          </w:p>
        </w:tc>
        <w:tc>
          <w:tcPr>
            <w:tcW w:type="dxa" w:w="3538"/>
            <w:tcMar>
              <w:top w:type="dxa" w:w="60"/>
              <w:left w:type="dxa" w:w="90"/>
              <w:bottom w:type="dxa" w:w="60"/>
              <w:right w:type="dxa" w:w="90"/>
            </w:tcMar>
            <w:vAlign w:val="top"/>
          </w:tcPr>
          <w:p>
            <w:pPr>
              <w:spacing w:after="0" w:line="252"/>
            </w:pPr>
            <w:r>
              <w:rPr>
                <w:rFonts w:ascii="Calibri" w:cs="Calibri" w:eastAsia="Calibri" w:hAnsi="Calibri"/>
                <w:b w:val="false"/>
                <w:bCs w:val="false"/>
                <w:sz w:val="18"/>
                <w:szCs w:val="18"/>
              </w:rPr>
              <w:t xml:space="preserve">Baumaschinen- und Gerätevermietung</w:t>
            </w:r>
          </w:p>
        </w:tc>
        <w:tc>
          <w:tcPr>
            <w:tcW w:type="dxa" w:w="1100"/>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hoch</w:t>
            </w:r>
          </w:p>
        </w:tc>
        <w:tc>
          <w:tcPr>
            <w:tcW w:type="dxa" w:w="900"/>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4</w:t>
            </w:r>
          </w:p>
        </w:tc>
        <w:tc>
          <w:tcPr>
            <w:tcW w:type="dxa" w:w="1100"/>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niedrig</w:t>
            </w:r>
          </w:p>
        </w:tc>
        <w:tc>
          <w:tcPr>
            <w:tcW w:type="dxa" w:w="1300"/>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sehr hoch</w:t>
            </w:r>
          </w:p>
        </w:tc>
        <w:tc>
          <w:tcPr>
            <w:tcW w:type="dxa" w:w="1000"/>
            <w:shd w:fill="D9EAD3"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8"/>
                <w:szCs w:val="18"/>
              </w:rPr>
              <w:t xml:space="preserve">A</w:t>
            </w:r>
          </w:p>
        </w:tc>
      </w:tr>
      <w:tr>
        <w:trPr>
          <w:cantSplit/>
        </w:trPr>
        <w:tc>
          <w:tcPr>
            <w:tcW w:type="dxa" w:w="700"/>
            <w:shd w:fill="F2F6FA" w:color="auto" w:val="clear"/>
            <w:tcMar>
              <w:top w:type="dxa" w:w="60"/>
              <w:left w:type="dxa" w:w="90"/>
              <w:bottom w:type="dxa" w:w="60"/>
              <w:right w:type="dxa" w:w="90"/>
            </w:tcMar>
            <w:vAlign w:val="top"/>
          </w:tcPr>
          <w:p>
            <w:pPr>
              <w:spacing w:after="0" w:line="252"/>
            </w:pPr>
            <w:r>
              <w:rPr>
                <w:rFonts w:ascii="Calibri" w:cs="Calibri" w:eastAsia="Calibri" w:hAnsi="Calibri"/>
                <w:b w:val="false"/>
                <w:bCs w:val="false"/>
                <w:sz w:val="18"/>
                <w:szCs w:val="18"/>
              </w:rPr>
              <w:t xml:space="preserve">C3</w:t>
            </w:r>
          </w:p>
        </w:tc>
        <w:tc>
          <w:tcPr>
            <w:tcW w:type="dxa" w:w="3538"/>
            <w:shd w:fill="F2F6FA" w:color="auto" w:val="clear"/>
            <w:tcMar>
              <w:top w:type="dxa" w:w="60"/>
              <w:left w:type="dxa" w:w="90"/>
              <w:bottom w:type="dxa" w:w="60"/>
              <w:right w:type="dxa" w:w="90"/>
            </w:tcMar>
            <w:vAlign w:val="top"/>
          </w:tcPr>
          <w:p>
            <w:pPr>
              <w:spacing w:after="0" w:line="252"/>
            </w:pPr>
            <w:r>
              <w:rPr>
                <w:rFonts w:ascii="Calibri" w:cs="Calibri" w:eastAsia="Calibri" w:hAnsi="Calibri"/>
                <w:b w:val="false"/>
                <w:bCs w:val="false"/>
                <w:sz w:val="18"/>
                <w:szCs w:val="18"/>
              </w:rPr>
              <w:t xml:space="preserve">Umzugsunternehmen</w:t>
            </w:r>
          </w:p>
        </w:tc>
        <w:tc>
          <w:tcPr>
            <w:tcW w:type="dxa" w:w="1100"/>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hoch</w:t>
            </w:r>
          </w:p>
        </w:tc>
        <w:tc>
          <w:tcPr>
            <w:tcW w:type="dxa" w:w="900"/>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4</w:t>
            </w:r>
          </w:p>
        </w:tc>
        <w:tc>
          <w:tcPr>
            <w:tcW w:type="dxa" w:w="1100"/>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niedrig</w:t>
            </w:r>
          </w:p>
        </w:tc>
        <w:tc>
          <w:tcPr>
            <w:tcW w:type="dxa" w:w="1300"/>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hoch</w:t>
            </w:r>
          </w:p>
        </w:tc>
        <w:tc>
          <w:tcPr>
            <w:tcW w:type="dxa" w:w="1000"/>
            <w:shd w:fill="FFF2CC"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8"/>
                <w:szCs w:val="18"/>
              </w:rPr>
              <w:t xml:space="preserve">B</w:t>
            </w:r>
          </w:p>
        </w:tc>
      </w:tr>
      <w:tr>
        <w:trPr>
          <w:cantSplit/>
        </w:trPr>
        <w:tc>
          <w:tcPr>
            <w:tcW w:type="dxa" w:w="700"/>
            <w:tcMar>
              <w:top w:type="dxa" w:w="60"/>
              <w:left w:type="dxa" w:w="90"/>
              <w:bottom w:type="dxa" w:w="60"/>
              <w:right w:type="dxa" w:w="90"/>
            </w:tcMar>
            <w:vAlign w:val="top"/>
          </w:tcPr>
          <w:p>
            <w:pPr>
              <w:spacing w:after="0" w:line="252"/>
            </w:pPr>
            <w:r>
              <w:rPr>
                <w:rFonts w:ascii="Calibri" w:cs="Calibri" w:eastAsia="Calibri" w:hAnsi="Calibri"/>
                <w:b w:val="false"/>
                <w:bCs w:val="false"/>
                <w:sz w:val="18"/>
                <w:szCs w:val="18"/>
              </w:rPr>
              <w:t xml:space="preserve">C4</w:t>
            </w:r>
          </w:p>
        </w:tc>
        <w:tc>
          <w:tcPr>
            <w:tcW w:type="dxa" w:w="3538"/>
            <w:tcMar>
              <w:top w:type="dxa" w:w="60"/>
              <w:left w:type="dxa" w:w="90"/>
              <w:bottom w:type="dxa" w:w="60"/>
              <w:right w:type="dxa" w:w="90"/>
            </w:tcMar>
            <w:vAlign w:val="top"/>
          </w:tcPr>
          <w:p>
            <w:pPr>
              <w:spacing w:after="0" w:line="252"/>
            </w:pPr>
            <w:r>
              <w:rPr>
                <w:rFonts w:ascii="Calibri" w:cs="Calibri" w:eastAsia="Calibri" w:hAnsi="Calibri"/>
                <w:b w:val="false"/>
                <w:bCs w:val="false"/>
                <w:sz w:val="18"/>
                <w:szCs w:val="18"/>
              </w:rPr>
              <w:t xml:space="preserve">Yacht-, Boots- und Wohnmobilcharter</w:t>
            </w:r>
          </w:p>
        </w:tc>
        <w:tc>
          <w:tcPr>
            <w:tcW w:type="dxa" w:w="1100"/>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mittel</w:t>
            </w:r>
          </w:p>
        </w:tc>
        <w:tc>
          <w:tcPr>
            <w:tcW w:type="dxa" w:w="900"/>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4</w:t>
            </w:r>
          </w:p>
        </w:tc>
        <w:tc>
          <w:tcPr>
            <w:tcW w:type="dxa" w:w="1100"/>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niedrig</w:t>
            </w:r>
          </w:p>
        </w:tc>
        <w:tc>
          <w:tcPr>
            <w:tcW w:type="dxa" w:w="1300"/>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hoch</w:t>
            </w:r>
          </w:p>
        </w:tc>
        <w:tc>
          <w:tcPr>
            <w:tcW w:type="dxa" w:w="1000"/>
            <w:shd w:fill="FFF2CC"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8"/>
                <w:szCs w:val="18"/>
              </w:rPr>
              <w:t xml:space="preserve">B</w:t>
            </w:r>
          </w:p>
        </w:tc>
      </w:tr>
      <w:tr>
        <w:trPr>
          <w:cantSplit/>
        </w:trPr>
        <w:tc>
          <w:tcPr>
            <w:tcW w:type="dxa" w:w="700"/>
            <w:shd w:fill="F2F6FA" w:color="auto" w:val="clear"/>
            <w:tcMar>
              <w:top w:type="dxa" w:w="60"/>
              <w:left w:type="dxa" w:w="90"/>
              <w:bottom w:type="dxa" w:w="60"/>
              <w:right w:type="dxa" w:w="90"/>
            </w:tcMar>
            <w:vAlign w:val="top"/>
          </w:tcPr>
          <w:p>
            <w:pPr>
              <w:spacing w:after="0" w:line="252"/>
            </w:pPr>
            <w:r>
              <w:rPr>
                <w:rFonts w:ascii="Calibri" w:cs="Calibri" w:eastAsia="Calibri" w:hAnsi="Calibri"/>
                <w:b w:val="false"/>
                <w:bCs w:val="false"/>
                <w:sz w:val="18"/>
                <w:szCs w:val="18"/>
              </w:rPr>
              <w:t xml:space="preserve">C5</w:t>
            </w:r>
          </w:p>
        </w:tc>
        <w:tc>
          <w:tcPr>
            <w:tcW w:type="dxa" w:w="3538"/>
            <w:shd w:fill="F2F6FA" w:color="auto" w:val="clear"/>
            <w:tcMar>
              <w:top w:type="dxa" w:w="60"/>
              <w:left w:type="dxa" w:w="90"/>
              <w:bottom w:type="dxa" w:w="60"/>
              <w:right w:type="dxa" w:w="90"/>
            </w:tcMar>
            <w:vAlign w:val="top"/>
          </w:tcPr>
          <w:p>
            <w:pPr>
              <w:spacing w:after="0" w:line="252"/>
            </w:pPr>
            <w:r>
              <w:rPr>
                <w:rFonts w:ascii="Calibri" w:cs="Calibri" w:eastAsia="Calibri" w:hAnsi="Calibri"/>
                <w:b w:val="false"/>
                <w:bCs w:val="false"/>
                <w:sz w:val="18"/>
                <w:szCs w:val="18"/>
              </w:rPr>
              <w:t xml:space="preserve">Ferienwohnungen und Kurzzeitvermietung</w:t>
            </w:r>
          </w:p>
        </w:tc>
        <w:tc>
          <w:tcPr>
            <w:tcW w:type="dxa" w:w="1100"/>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hoch</w:t>
            </w:r>
          </w:p>
        </w:tc>
        <w:tc>
          <w:tcPr>
            <w:tcW w:type="dxa" w:w="900"/>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3</w:t>
            </w:r>
          </w:p>
        </w:tc>
        <w:tc>
          <w:tcPr>
            <w:tcW w:type="dxa" w:w="1100"/>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niedrig</w:t>
            </w:r>
          </w:p>
        </w:tc>
        <w:tc>
          <w:tcPr>
            <w:tcW w:type="dxa" w:w="1300"/>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hoch</w:t>
            </w:r>
          </w:p>
        </w:tc>
        <w:tc>
          <w:tcPr>
            <w:tcW w:type="dxa" w:w="1000"/>
            <w:shd w:fill="FFF2CC"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8"/>
                <w:szCs w:val="18"/>
              </w:rPr>
              <w:t xml:space="preserve">B</w:t>
            </w:r>
          </w:p>
        </w:tc>
      </w:tr>
      <w:tr>
        <w:trPr>
          <w:cantSplit/>
        </w:trPr>
        <w:tc>
          <w:tcPr>
            <w:tcW w:type="dxa" w:w="700"/>
            <w:tcMar>
              <w:top w:type="dxa" w:w="60"/>
              <w:left w:type="dxa" w:w="90"/>
              <w:bottom w:type="dxa" w:w="60"/>
              <w:right w:type="dxa" w:w="90"/>
            </w:tcMar>
            <w:vAlign w:val="top"/>
          </w:tcPr>
          <w:p>
            <w:pPr>
              <w:spacing w:after="0" w:line="252"/>
            </w:pPr>
            <w:r>
              <w:rPr>
                <w:rFonts w:ascii="Calibri" w:cs="Calibri" w:eastAsia="Calibri" w:hAnsi="Calibri"/>
                <w:b w:val="false"/>
                <w:bCs w:val="false"/>
                <w:sz w:val="18"/>
                <w:szCs w:val="18"/>
              </w:rPr>
              <w:t xml:space="preserve">D1</w:t>
            </w:r>
          </w:p>
        </w:tc>
        <w:tc>
          <w:tcPr>
            <w:tcW w:type="dxa" w:w="3538"/>
            <w:tcMar>
              <w:top w:type="dxa" w:w="60"/>
              <w:left w:type="dxa" w:w="90"/>
              <w:bottom w:type="dxa" w:w="60"/>
              <w:right w:type="dxa" w:w="90"/>
            </w:tcMar>
            <w:vAlign w:val="top"/>
          </w:tcPr>
          <w:p>
            <w:pPr>
              <w:spacing w:after="0" w:line="252"/>
            </w:pPr>
            <w:r>
              <w:rPr>
                <w:rFonts w:ascii="Calibri" w:cs="Calibri" w:eastAsia="Calibri" w:hAnsi="Calibri"/>
                <w:b w:val="false"/>
                <w:bCs w:val="false"/>
                <w:sz w:val="18"/>
                <w:szCs w:val="18"/>
              </w:rPr>
              <w:t xml:space="preserve">Logistik: Zustellnachweis und Transportschäden</w:t>
            </w:r>
          </w:p>
        </w:tc>
        <w:tc>
          <w:tcPr>
            <w:tcW w:type="dxa" w:w="1100"/>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sehr hoch</w:t>
            </w:r>
          </w:p>
        </w:tc>
        <w:tc>
          <w:tcPr>
            <w:tcW w:type="dxa" w:w="900"/>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3</w:t>
            </w:r>
          </w:p>
        </w:tc>
        <w:tc>
          <w:tcPr>
            <w:tcW w:type="dxa" w:w="1100"/>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mittel</w:t>
            </w:r>
          </w:p>
        </w:tc>
        <w:tc>
          <w:tcPr>
            <w:tcW w:type="dxa" w:w="1300"/>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mittel</w:t>
            </w:r>
          </w:p>
        </w:tc>
        <w:tc>
          <w:tcPr>
            <w:tcW w:type="dxa" w:w="1000"/>
            <w:shd w:fill="FFF2CC"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8"/>
                <w:szCs w:val="18"/>
              </w:rPr>
              <w:t xml:space="preserve">B</w:t>
            </w:r>
          </w:p>
        </w:tc>
      </w:tr>
      <w:tr>
        <w:trPr>
          <w:cantSplit/>
        </w:trPr>
        <w:tc>
          <w:tcPr>
            <w:tcW w:type="dxa" w:w="700"/>
            <w:shd w:fill="F2F6FA" w:color="auto" w:val="clear"/>
            <w:tcMar>
              <w:top w:type="dxa" w:w="60"/>
              <w:left w:type="dxa" w:w="90"/>
              <w:bottom w:type="dxa" w:w="60"/>
              <w:right w:type="dxa" w:w="90"/>
            </w:tcMar>
            <w:vAlign w:val="top"/>
          </w:tcPr>
          <w:p>
            <w:pPr>
              <w:spacing w:after="0" w:line="252"/>
            </w:pPr>
            <w:r>
              <w:rPr>
                <w:rFonts w:ascii="Calibri" w:cs="Calibri" w:eastAsia="Calibri" w:hAnsi="Calibri"/>
                <w:b w:val="false"/>
                <w:bCs w:val="false"/>
                <w:sz w:val="18"/>
                <w:szCs w:val="18"/>
              </w:rPr>
              <w:t xml:space="preserve">D2</w:t>
            </w:r>
          </w:p>
        </w:tc>
        <w:tc>
          <w:tcPr>
            <w:tcW w:type="dxa" w:w="3538"/>
            <w:shd w:fill="F2F6FA" w:color="auto" w:val="clear"/>
            <w:tcMar>
              <w:top w:type="dxa" w:w="60"/>
              <w:left w:type="dxa" w:w="90"/>
              <w:bottom w:type="dxa" w:w="60"/>
              <w:right w:type="dxa" w:w="90"/>
            </w:tcMar>
            <w:vAlign w:val="top"/>
          </w:tcPr>
          <w:p>
            <w:pPr>
              <w:spacing w:after="0" w:line="252"/>
            </w:pPr>
            <w:r>
              <w:rPr>
                <w:rFonts w:ascii="Calibri" w:cs="Calibri" w:eastAsia="Calibri" w:hAnsi="Calibri"/>
                <w:b w:val="false"/>
                <w:bCs w:val="false"/>
                <w:sz w:val="18"/>
                <w:szCs w:val="18"/>
              </w:rPr>
              <w:t xml:space="preserve">Retourenbetrug und Re-Commerce</w:t>
            </w:r>
          </w:p>
        </w:tc>
        <w:tc>
          <w:tcPr>
            <w:tcW w:type="dxa" w:w="1100"/>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sehr hoch</w:t>
            </w:r>
          </w:p>
        </w:tc>
        <w:tc>
          <w:tcPr>
            <w:tcW w:type="dxa" w:w="900"/>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5</w:t>
            </w:r>
          </w:p>
        </w:tc>
        <w:tc>
          <w:tcPr>
            <w:tcW w:type="dxa" w:w="1100"/>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niedrig</w:t>
            </w:r>
          </w:p>
        </w:tc>
        <w:tc>
          <w:tcPr>
            <w:tcW w:type="dxa" w:w="1300"/>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mittel</w:t>
            </w:r>
          </w:p>
        </w:tc>
        <w:tc>
          <w:tcPr>
            <w:tcW w:type="dxa" w:w="1000"/>
            <w:shd w:fill="D9EAD3"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8"/>
                <w:szCs w:val="18"/>
              </w:rPr>
              <w:t xml:space="preserve">A</w:t>
            </w:r>
          </w:p>
        </w:tc>
      </w:tr>
      <w:tr>
        <w:trPr>
          <w:cantSplit/>
        </w:trPr>
        <w:tc>
          <w:tcPr>
            <w:tcW w:type="dxa" w:w="700"/>
            <w:tcMar>
              <w:top w:type="dxa" w:w="60"/>
              <w:left w:type="dxa" w:w="90"/>
              <w:bottom w:type="dxa" w:w="60"/>
              <w:right w:type="dxa" w:w="90"/>
            </w:tcMar>
            <w:vAlign w:val="top"/>
          </w:tcPr>
          <w:p>
            <w:pPr>
              <w:spacing w:after="0" w:line="252"/>
            </w:pPr>
            <w:r>
              <w:rPr>
                <w:rFonts w:ascii="Calibri" w:cs="Calibri" w:eastAsia="Calibri" w:hAnsi="Calibri"/>
                <w:b w:val="false"/>
                <w:bCs w:val="false"/>
                <w:sz w:val="18"/>
                <w:szCs w:val="18"/>
              </w:rPr>
              <w:t xml:space="preserve">D3</w:t>
            </w:r>
          </w:p>
        </w:tc>
        <w:tc>
          <w:tcPr>
            <w:tcW w:type="dxa" w:w="3538"/>
            <w:tcMar>
              <w:top w:type="dxa" w:w="60"/>
              <w:left w:type="dxa" w:w="90"/>
              <w:bottom w:type="dxa" w:w="60"/>
              <w:right w:type="dxa" w:w="90"/>
            </w:tcMar>
            <w:vAlign w:val="top"/>
          </w:tcPr>
          <w:p>
            <w:pPr>
              <w:spacing w:after="0" w:line="252"/>
            </w:pPr>
            <w:r>
              <w:rPr>
                <w:rFonts w:ascii="Calibri" w:cs="Calibri" w:eastAsia="Calibri" w:hAnsi="Calibri"/>
                <w:b w:val="false"/>
                <w:bCs w:val="false"/>
                <w:sz w:val="18"/>
                <w:szCs w:val="18"/>
              </w:rPr>
              <w:t xml:space="preserve">Chargebacks und Zahlungsdienstleister</w:t>
            </w:r>
          </w:p>
        </w:tc>
        <w:tc>
          <w:tcPr>
            <w:tcW w:type="dxa" w:w="1100"/>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hoch</w:t>
            </w:r>
          </w:p>
        </w:tc>
        <w:tc>
          <w:tcPr>
            <w:tcW w:type="dxa" w:w="900"/>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3</w:t>
            </w:r>
          </w:p>
        </w:tc>
        <w:tc>
          <w:tcPr>
            <w:tcW w:type="dxa" w:w="1100"/>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niedrig</w:t>
            </w:r>
          </w:p>
        </w:tc>
        <w:tc>
          <w:tcPr>
            <w:tcW w:type="dxa" w:w="1300"/>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niedrig</w:t>
            </w:r>
          </w:p>
        </w:tc>
        <w:tc>
          <w:tcPr>
            <w:tcW w:type="dxa" w:w="1000"/>
            <w:shd w:fill="F4F4F4"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8"/>
                <w:szCs w:val="18"/>
              </w:rPr>
              <w:t xml:space="preserve">C</w:t>
            </w:r>
          </w:p>
        </w:tc>
      </w:tr>
      <w:tr>
        <w:trPr>
          <w:cantSplit/>
        </w:trPr>
        <w:tc>
          <w:tcPr>
            <w:tcW w:type="dxa" w:w="700"/>
            <w:shd w:fill="F2F6FA" w:color="auto" w:val="clear"/>
            <w:tcMar>
              <w:top w:type="dxa" w:w="60"/>
              <w:left w:type="dxa" w:w="90"/>
              <w:bottom w:type="dxa" w:w="60"/>
              <w:right w:type="dxa" w:w="90"/>
            </w:tcMar>
            <w:vAlign w:val="top"/>
          </w:tcPr>
          <w:p>
            <w:pPr>
              <w:spacing w:after="0" w:line="252"/>
            </w:pPr>
            <w:r>
              <w:rPr>
                <w:rFonts w:ascii="Calibri" w:cs="Calibri" w:eastAsia="Calibri" w:hAnsi="Calibri"/>
                <w:b w:val="false"/>
                <w:bCs w:val="false"/>
                <w:sz w:val="18"/>
                <w:szCs w:val="18"/>
              </w:rPr>
              <w:t xml:space="preserve">D4</w:t>
            </w:r>
          </w:p>
        </w:tc>
        <w:tc>
          <w:tcPr>
            <w:tcW w:type="dxa" w:w="3538"/>
            <w:shd w:fill="F2F6FA" w:color="auto" w:val="clear"/>
            <w:tcMar>
              <w:top w:type="dxa" w:w="60"/>
              <w:left w:type="dxa" w:w="90"/>
              <w:bottom w:type="dxa" w:w="60"/>
              <w:right w:type="dxa" w:w="90"/>
            </w:tcMar>
            <w:vAlign w:val="top"/>
          </w:tcPr>
          <w:p>
            <w:pPr>
              <w:spacing w:after="0" w:line="252"/>
            </w:pPr>
            <w:r>
              <w:rPr>
                <w:rFonts w:ascii="Calibri" w:cs="Calibri" w:eastAsia="Calibri" w:hAnsi="Calibri"/>
                <w:b w:val="false"/>
                <w:bCs w:val="false"/>
                <w:sz w:val="18"/>
                <w:szCs w:val="18"/>
              </w:rPr>
              <w:t xml:space="preserve">KYC, Dokumentenprüfung und Bewerbungsunterlagen</w:t>
            </w:r>
          </w:p>
        </w:tc>
        <w:tc>
          <w:tcPr>
            <w:tcW w:type="dxa" w:w="1100"/>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hoch</w:t>
            </w:r>
          </w:p>
        </w:tc>
        <w:tc>
          <w:tcPr>
            <w:tcW w:type="dxa" w:w="900"/>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4</w:t>
            </w:r>
          </w:p>
        </w:tc>
        <w:tc>
          <w:tcPr>
            <w:tcW w:type="dxa" w:w="1100"/>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mittel</w:t>
            </w:r>
          </w:p>
        </w:tc>
        <w:tc>
          <w:tcPr>
            <w:tcW w:type="dxa" w:w="1300"/>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niedrig</w:t>
            </w:r>
          </w:p>
        </w:tc>
        <w:tc>
          <w:tcPr>
            <w:tcW w:type="dxa" w:w="1000"/>
            <w:shd w:fill="F4F4F4"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8"/>
                <w:szCs w:val="18"/>
              </w:rPr>
              <w:t xml:space="preserve">C</w:t>
            </w:r>
          </w:p>
        </w:tc>
      </w:tr>
      <w:tr>
        <w:trPr>
          <w:cantSplit/>
        </w:trPr>
        <w:tc>
          <w:tcPr>
            <w:tcW w:type="dxa" w:w="700"/>
            <w:tcMar>
              <w:top w:type="dxa" w:w="60"/>
              <w:left w:type="dxa" w:w="90"/>
              <w:bottom w:type="dxa" w:w="60"/>
              <w:right w:type="dxa" w:w="90"/>
            </w:tcMar>
            <w:vAlign w:val="top"/>
          </w:tcPr>
          <w:p>
            <w:pPr>
              <w:spacing w:after="0" w:line="252"/>
            </w:pPr>
            <w:r>
              <w:rPr>
                <w:rFonts w:ascii="Calibri" w:cs="Calibri" w:eastAsia="Calibri" w:hAnsi="Calibri"/>
                <w:b w:val="false"/>
                <w:bCs w:val="false"/>
                <w:sz w:val="18"/>
                <w:szCs w:val="18"/>
              </w:rPr>
              <w:t xml:space="preserve">E1</w:t>
            </w:r>
          </w:p>
        </w:tc>
        <w:tc>
          <w:tcPr>
            <w:tcW w:type="dxa" w:w="3538"/>
            <w:tcMar>
              <w:top w:type="dxa" w:w="60"/>
              <w:left w:type="dxa" w:w="90"/>
              <w:bottom w:type="dxa" w:w="60"/>
              <w:right w:type="dxa" w:w="90"/>
            </w:tcMar>
            <w:vAlign w:val="top"/>
          </w:tcPr>
          <w:p>
            <w:pPr>
              <w:spacing w:after="0" w:line="252"/>
            </w:pPr>
            <w:r>
              <w:rPr>
                <w:rFonts w:ascii="Calibri" w:cs="Calibri" w:eastAsia="Calibri" w:hAnsi="Calibri"/>
                <w:b w:val="false"/>
                <w:bCs w:val="false"/>
                <w:sz w:val="18"/>
                <w:szCs w:val="18"/>
              </w:rPr>
              <w:t xml:space="preserve">Winterdienst</w:t>
            </w:r>
          </w:p>
        </w:tc>
        <w:tc>
          <w:tcPr>
            <w:tcW w:type="dxa" w:w="1100"/>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hoch</w:t>
            </w:r>
          </w:p>
        </w:tc>
        <w:tc>
          <w:tcPr>
            <w:tcW w:type="dxa" w:w="900"/>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5</w:t>
            </w:r>
          </w:p>
        </w:tc>
        <w:tc>
          <w:tcPr>
            <w:tcW w:type="dxa" w:w="1100"/>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niedrig</w:t>
            </w:r>
          </w:p>
        </w:tc>
        <w:tc>
          <w:tcPr>
            <w:tcW w:type="dxa" w:w="1300"/>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hoch</w:t>
            </w:r>
          </w:p>
        </w:tc>
        <w:tc>
          <w:tcPr>
            <w:tcW w:type="dxa" w:w="1000"/>
            <w:shd w:fill="D9EAD3"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8"/>
                <w:szCs w:val="18"/>
              </w:rPr>
              <w:t xml:space="preserve">A</w:t>
            </w:r>
          </w:p>
        </w:tc>
      </w:tr>
      <w:tr>
        <w:trPr>
          <w:cantSplit/>
        </w:trPr>
        <w:tc>
          <w:tcPr>
            <w:tcW w:type="dxa" w:w="700"/>
            <w:shd w:fill="F2F6FA" w:color="auto" w:val="clear"/>
            <w:tcMar>
              <w:top w:type="dxa" w:w="60"/>
              <w:left w:type="dxa" w:w="90"/>
              <w:bottom w:type="dxa" w:w="60"/>
              <w:right w:type="dxa" w:w="90"/>
            </w:tcMar>
            <w:vAlign w:val="top"/>
          </w:tcPr>
          <w:p>
            <w:pPr>
              <w:spacing w:after="0" w:line="252"/>
            </w:pPr>
            <w:r>
              <w:rPr>
                <w:rFonts w:ascii="Calibri" w:cs="Calibri" w:eastAsia="Calibri" w:hAnsi="Calibri"/>
                <w:b w:val="false"/>
                <w:bCs w:val="false"/>
                <w:sz w:val="18"/>
                <w:szCs w:val="18"/>
              </w:rPr>
              <w:t xml:space="preserve">E2</w:t>
            </w:r>
          </w:p>
        </w:tc>
        <w:tc>
          <w:tcPr>
            <w:tcW w:type="dxa" w:w="3538"/>
            <w:shd w:fill="F2F6FA" w:color="auto" w:val="clear"/>
            <w:tcMar>
              <w:top w:type="dxa" w:w="60"/>
              <w:left w:type="dxa" w:w="90"/>
              <w:bottom w:type="dxa" w:w="60"/>
              <w:right w:type="dxa" w:w="90"/>
            </w:tcMar>
            <w:vAlign w:val="top"/>
          </w:tcPr>
          <w:p>
            <w:pPr>
              <w:spacing w:after="0" w:line="252"/>
            </w:pPr>
            <w:r>
              <w:rPr>
                <w:rFonts w:ascii="Calibri" w:cs="Calibri" w:eastAsia="Calibri" w:hAnsi="Calibri"/>
                <w:b w:val="false"/>
                <w:bCs w:val="false"/>
                <w:sz w:val="18"/>
                <w:szCs w:val="18"/>
              </w:rPr>
              <w:t xml:space="preserve">Kommunale Verkehrssicherungspflicht (Bäume, Spielplätze, Straßen)</w:t>
            </w:r>
          </w:p>
        </w:tc>
        <w:tc>
          <w:tcPr>
            <w:tcW w:type="dxa" w:w="1100"/>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hoch</w:t>
            </w:r>
          </w:p>
        </w:tc>
        <w:tc>
          <w:tcPr>
            <w:tcW w:type="dxa" w:w="900"/>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4</w:t>
            </w:r>
          </w:p>
        </w:tc>
        <w:tc>
          <w:tcPr>
            <w:tcW w:type="dxa" w:w="1100"/>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niedrig</w:t>
            </w:r>
          </w:p>
        </w:tc>
        <w:tc>
          <w:tcPr>
            <w:tcW w:type="dxa" w:w="1300"/>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hoch</w:t>
            </w:r>
          </w:p>
        </w:tc>
        <w:tc>
          <w:tcPr>
            <w:tcW w:type="dxa" w:w="1000"/>
            <w:shd w:fill="D9EAD3"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8"/>
                <w:szCs w:val="18"/>
              </w:rPr>
              <w:t xml:space="preserve">A</w:t>
            </w:r>
          </w:p>
        </w:tc>
      </w:tr>
      <w:tr>
        <w:trPr>
          <w:cantSplit/>
        </w:trPr>
        <w:tc>
          <w:tcPr>
            <w:tcW w:type="dxa" w:w="700"/>
            <w:tcMar>
              <w:top w:type="dxa" w:w="60"/>
              <w:left w:type="dxa" w:w="90"/>
              <w:bottom w:type="dxa" w:w="60"/>
              <w:right w:type="dxa" w:w="90"/>
            </w:tcMar>
            <w:vAlign w:val="top"/>
          </w:tcPr>
          <w:p>
            <w:pPr>
              <w:spacing w:after="0" w:line="252"/>
            </w:pPr>
            <w:r>
              <w:rPr>
                <w:rFonts w:ascii="Calibri" w:cs="Calibri" w:eastAsia="Calibri" w:hAnsi="Calibri"/>
                <w:b w:val="false"/>
                <w:bCs w:val="false"/>
                <w:sz w:val="18"/>
                <w:szCs w:val="18"/>
              </w:rPr>
              <w:t xml:space="preserve">E3</w:t>
            </w:r>
          </w:p>
        </w:tc>
        <w:tc>
          <w:tcPr>
            <w:tcW w:type="dxa" w:w="3538"/>
            <w:tcMar>
              <w:top w:type="dxa" w:w="60"/>
              <w:left w:type="dxa" w:w="90"/>
              <w:bottom w:type="dxa" w:w="60"/>
              <w:right w:type="dxa" w:w="90"/>
            </w:tcMar>
            <w:vAlign w:val="top"/>
          </w:tcPr>
          <w:p>
            <w:pPr>
              <w:spacing w:after="0" w:line="252"/>
            </w:pPr>
            <w:r>
              <w:rPr>
                <w:rFonts w:ascii="Calibri" w:cs="Calibri" w:eastAsia="Calibri" w:hAnsi="Calibri"/>
                <w:b w:val="false"/>
                <w:bCs w:val="false"/>
                <w:sz w:val="18"/>
                <w:szCs w:val="18"/>
              </w:rPr>
              <w:t xml:space="preserve">Reinigung und Facility Management (SLA-Nachweis)</w:t>
            </w:r>
          </w:p>
        </w:tc>
        <w:tc>
          <w:tcPr>
            <w:tcW w:type="dxa" w:w="1100"/>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hoch</w:t>
            </w:r>
          </w:p>
        </w:tc>
        <w:tc>
          <w:tcPr>
            <w:tcW w:type="dxa" w:w="900"/>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3</w:t>
            </w:r>
          </w:p>
        </w:tc>
        <w:tc>
          <w:tcPr>
            <w:tcW w:type="dxa" w:w="1100"/>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mittel</w:t>
            </w:r>
          </w:p>
        </w:tc>
        <w:tc>
          <w:tcPr>
            <w:tcW w:type="dxa" w:w="1300"/>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hoch</w:t>
            </w:r>
          </w:p>
        </w:tc>
        <w:tc>
          <w:tcPr>
            <w:tcW w:type="dxa" w:w="1000"/>
            <w:shd w:fill="FFF2CC"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8"/>
                <w:szCs w:val="18"/>
              </w:rPr>
              <w:t xml:space="preserve">B</w:t>
            </w:r>
          </w:p>
        </w:tc>
      </w:tr>
      <w:tr>
        <w:trPr>
          <w:cantSplit/>
        </w:trPr>
        <w:tc>
          <w:tcPr>
            <w:tcW w:type="dxa" w:w="700"/>
            <w:shd w:fill="F2F6FA" w:color="auto" w:val="clear"/>
            <w:tcMar>
              <w:top w:type="dxa" w:w="60"/>
              <w:left w:type="dxa" w:w="90"/>
              <w:bottom w:type="dxa" w:w="60"/>
              <w:right w:type="dxa" w:w="90"/>
            </w:tcMar>
            <w:vAlign w:val="top"/>
          </w:tcPr>
          <w:p>
            <w:pPr>
              <w:spacing w:after="0" w:line="252"/>
            </w:pPr>
            <w:r>
              <w:rPr>
                <w:rFonts w:ascii="Calibri" w:cs="Calibri" w:eastAsia="Calibri" w:hAnsi="Calibri"/>
                <w:b w:val="false"/>
                <w:bCs w:val="false"/>
                <w:sz w:val="18"/>
                <w:szCs w:val="18"/>
              </w:rPr>
              <w:t xml:space="preserve">E4</w:t>
            </w:r>
          </w:p>
        </w:tc>
        <w:tc>
          <w:tcPr>
            <w:tcW w:type="dxa" w:w="3538"/>
            <w:shd w:fill="F2F6FA" w:color="auto" w:val="clear"/>
            <w:tcMar>
              <w:top w:type="dxa" w:w="60"/>
              <w:left w:type="dxa" w:w="90"/>
              <w:bottom w:type="dxa" w:w="60"/>
              <w:right w:type="dxa" w:w="90"/>
            </w:tcMar>
            <w:vAlign w:val="top"/>
          </w:tcPr>
          <w:p>
            <w:pPr>
              <w:spacing w:after="0" w:line="252"/>
            </w:pPr>
            <w:r>
              <w:rPr>
                <w:rFonts w:ascii="Calibri" w:cs="Calibri" w:eastAsia="Calibri" w:hAnsi="Calibri"/>
                <w:b w:val="false"/>
                <w:bCs w:val="false"/>
                <w:sz w:val="18"/>
                <w:szCs w:val="18"/>
              </w:rPr>
              <w:t xml:space="preserve">Wachschutz und Schädlingsbekämpfung (Audit-Nachweise)</w:t>
            </w:r>
          </w:p>
        </w:tc>
        <w:tc>
          <w:tcPr>
            <w:tcW w:type="dxa" w:w="1100"/>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mittel</w:t>
            </w:r>
          </w:p>
        </w:tc>
        <w:tc>
          <w:tcPr>
            <w:tcW w:type="dxa" w:w="900"/>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3</w:t>
            </w:r>
          </w:p>
        </w:tc>
        <w:tc>
          <w:tcPr>
            <w:tcW w:type="dxa" w:w="1100"/>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mittel</w:t>
            </w:r>
          </w:p>
        </w:tc>
        <w:tc>
          <w:tcPr>
            <w:tcW w:type="dxa" w:w="1300"/>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mittel</w:t>
            </w:r>
          </w:p>
        </w:tc>
        <w:tc>
          <w:tcPr>
            <w:tcW w:type="dxa" w:w="1000"/>
            <w:shd w:fill="F4F4F4"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8"/>
                <w:szCs w:val="18"/>
              </w:rPr>
              <w:t xml:space="preserve">C</w:t>
            </w:r>
          </w:p>
        </w:tc>
      </w:tr>
      <w:tr>
        <w:trPr>
          <w:cantSplit/>
        </w:trPr>
        <w:tc>
          <w:tcPr>
            <w:tcW w:type="dxa" w:w="700"/>
            <w:tcMar>
              <w:top w:type="dxa" w:w="60"/>
              <w:left w:type="dxa" w:w="90"/>
              <w:bottom w:type="dxa" w:w="60"/>
              <w:right w:type="dxa" w:w="90"/>
            </w:tcMar>
            <w:vAlign w:val="top"/>
          </w:tcPr>
          <w:p>
            <w:pPr>
              <w:spacing w:after="0" w:line="252"/>
            </w:pPr>
            <w:r>
              <w:rPr>
                <w:rFonts w:ascii="Calibri" w:cs="Calibri" w:eastAsia="Calibri" w:hAnsi="Calibri"/>
                <w:b w:val="false"/>
                <w:bCs w:val="false"/>
                <w:sz w:val="18"/>
                <w:szCs w:val="18"/>
              </w:rPr>
              <w:t xml:space="preserve">E5</w:t>
            </w:r>
          </w:p>
        </w:tc>
        <w:tc>
          <w:tcPr>
            <w:tcW w:type="dxa" w:w="3538"/>
            <w:tcMar>
              <w:top w:type="dxa" w:w="60"/>
              <w:left w:type="dxa" w:w="90"/>
              <w:bottom w:type="dxa" w:w="60"/>
              <w:right w:type="dxa" w:w="90"/>
            </w:tcMar>
            <w:vAlign w:val="top"/>
          </w:tcPr>
          <w:p>
            <w:pPr>
              <w:spacing w:after="0" w:line="252"/>
            </w:pPr>
            <w:r>
              <w:rPr>
                <w:rFonts w:ascii="Calibri" w:cs="Calibri" w:eastAsia="Calibri" w:hAnsi="Calibri"/>
                <w:b w:val="false"/>
                <w:bCs w:val="false"/>
                <w:sz w:val="18"/>
                <w:szCs w:val="18"/>
              </w:rPr>
              <w:t xml:space="preserve">Arbeitsschutz und Unfalldokumentation</w:t>
            </w:r>
          </w:p>
        </w:tc>
        <w:tc>
          <w:tcPr>
            <w:tcW w:type="dxa" w:w="1100"/>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hoch</w:t>
            </w:r>
          </w:p>
        </w:tc>
        <w:tc>
          <w:tcPr>
            <w:tcW w:type="dxa" w:w="900"/>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3</w:t>
            </w:r>
          </w:p>
        </w:tc>
        <w:tc>
          <w:tcPr>
            <w:tcW w:type="dxa" w:w="1100"/>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mittel</w:t>
            </w:r>
          </w:p>
        </w:tc>
        <w:tc>
          <w:tcPr>
            <w:tcW w:type="dxa" w:w="1300"/>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sehr hoch</w:t>
            </w:r>
          </w:p>
        </w:tc>
        <w:tc>
          <w:tcPr>
            <w:tcW w:type="dxa" w:w="1000"/>
            <w:shd w:fill="FFF2CC"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8"/>
                <w:szCs w:val="18"/>
              </w:rPr>
              <w:t xml:space="preserve">B</w:t>
            </w:r>
          </w:p>
        </w:tc>
      </w:tr>
      <w:tr>
        <w:trPr>
          <w:cantSplit/>
        </w:trPr>
        <w:tc>
          <w:tcPr>
            <w:tcW w:type="dxa" w:w="700"/>
            <w:shd w:fill="F2F6FA" w:color="auto" w:val="clear"/>
            <w:tcMar>
              <w:top w:type="dxa" w:w="60"/>
              <w:left w:type="dxa" w:w="90"/>
              <w:bottom w:type="dxa" w:w="60"/>
              <w:right w:type="dxa" w:w="90"/>
            </w:tcMar>
            <w:vAlign w:val="top"/>
          </w:tcPr>
          <w:p>
            <w:pPr>
              <w:spacing w:after="0" w:line="252"/>
            </w:pPr>
            <w:r>
              <w:rPr>
                <w:rFonts w:ascii="Calibri" w:cs="Calibri" w:eastAsia="Calibri" w:hAnsi="Calibri"/>
                <w:b w:val="false"/>
                <w:bCs w:val="false"/>
                <w:sz w:val="18"/>
                <w:szCs w:val="18"/>
              </w:rPr>
              <w:t xml:space="preserve">F1</w:t>
            </w:r>
          </w:p>
        </w:tc>
        <w:tc>
          <w:tcPr>
            <w:tcW w:type="dxa" w:w="3538"/>
            <w:shd w:fill="F2F6FA" w:color="auto" w:val="clear"/>
            <w:tcMar>
              <w:top w:type="dxa" w:w="60"/>
              <w:left w:type="dxa" w:w="90"/>
              <w:bottom w:type="dxa" w:w="60"/>
              <w:right w:type="dxa" w:w="90"/>
            </w:tcMar>
            <w:vAlign w:val="top"/>
          </w:tcPr>
          <w:p>
            <w:pPr>
              <w:spacing w:after="0" w:line="252"/>
            </w:pPr>
            <w:r>
              <w:rPr>
                <w:rFonts w:ascii="Calibri" w:cs="Calibri" w:eastAsia="Calibri" w:hAnsi="Calibri"/>
                <w:b w:val="false"/>
                <w:bCs w:val="false"/>
                <w:sz w:val="18"/>
                <w:szCs w:val="18"/>
              </w:rPr>
              <w:t xml:space="preserve">Förderprogramme (Sanierung, Wärmepumpe, PV, Investitionsförderung)</w:t>
            </w:r>
          </w:p>
        </w:tc>
        <w:tc>
          <w:tcPr>
            <w:tcW w:type="dxa" w:w="1100"/>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sehr hoch</w:t>
            </w:r>
          </w:p>
        </w:tc>
        <w:tc>
          <w:tcPr>
            <w:tcW w:type="dxa" w:w="900"/>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4</w:t>
            </w:r>
          </w:p>
        </w:tc>
        <w:tc>
          <w:tcPr>
            <w:tcW w:type="dxa" w:w="1100"/>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niedrig</w:t>
            </w:r>
          </w:p>
        </w:tc>
        <w:tc>
          <w:tcPr>
            <w:tcW w:type="dxa" w:w="1300"/>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hoch</w:t>
            </w:r>
          </w:p>
        </w:tc>
        <w:tc>
          <w:tcPr>
            <w:tcW w:type="dxa" w:w="1000"/>
            <w:shd w:fill="D9EAD3"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8"/>
                <w:szCs w:val="18"/>
              </w:rPr>
              <w:t xml:space="preserve">A</w:t>
            </w:r>
          </w:p>
        </w:tc>
      </w:tr>
      <w:tr>
        <w:trPr>
          <w:cantSplit/>
        </w:trPr>
        <w:tc>
          <w:tcPr>
            <w:tcW w:type="dxa" w:w="700"/>
            <w:tcMar>
              <w:top w:type="dxa" w:w="60"/>
              <w:left w:type="dxa" w:w="90"/>
              <w:bottom w:type="dxa" w:w="60"/>
              <w:right w:type="dxa" w:w="90"/>
            </w:tcMar>
            <w:vAlign w:val="top"/>
          </w:tcPr>
          <w:p>
            <w:pPr>
              <w:spacing w:after="0" w:line="252"/>
            </w:pPr>
            <w:r>
              <w:rPr>
                <w:rFonts w:ascii="Calibri" w:cs="Calibri" w:eastAsia="Calibri" w:hAnsi="Calibri"/>
                <w:b w:val="false"/>
                <w:bCs w:val="false"/>
                <w:sz w:val="18"/>
                <w:szCs w:val="18"/>
              </w:rPr>
              <w:t xml:space="preserve">F2</w:t>
            </w:r>
          </w:p>
        </w:tc>
        <w:tc>
          <w:tcPr>
            <w:tcW w:type="dxa" w:w="3538"/>
            <w:tcMar>
              <w:top w:type="dxa" w:w="60"/>
              <w:left w:type="dxa" w:w="90"/>
              <w:bottom w:type="dxa" w:w="60"/>
              <w:right w:type="dxa" w:w="90"/>
            </w:tcMar>
            <w:vAlign w:val="top"/>
          </w:tcPr>
          <w:p>
            <w:pPr>
              <w:spacing w:after="0" w:line="252"/>
            </w:pPr>
            <w:r>
              <w:rPr>
                <w:rFonts w:ascii="Calibri" w:cs="Calibri" w:eastAsia="Calibri" w:hAnsi="Calibri"/>
                <w:b w:val="false"/>
                <w:bCs w:val="false"/>
                <w:sz w:val="18"/>
                <w:szCs w:val="18"/>
              </w:rPr>
              <w:t xml:space="preserve">Zählerstände und Energieabrechnung</w:t>
            </w:r>
          </w:p>
        </w:tc>
        <w:tc>
          <w:tcPr>
            <w:tcW w:type="dxa" w:w="1100"/>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sehr hoch</w:t>
            </w:r>
          </w:p>
        </w:tc>
        <w:tc>
          <w:tcPr>
            <w:tcW w:type="dxa" w:w="900"/>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2</w:t>
            </w:r>
          </w:p>
        </w:tc>
        <w:tc>
          <w:tcPr>
            <w:tcW w:type="dxa" w:w="1100"/>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mittel</w:t>
            </w:r>
          </w:p>
        </w:tc>
        <w:tc>
          <w:tcPr>
            <w:tcW w:type="dxa" w:w="1300"/>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mittel</w:t>
            </w:r>
          </w:p>
        </w:tc>
        <w:tc>
          <w:tcPr>
            <w:tcW w:type="dxa" w:w="1000"/>
            <w:shd w:fill="F4F4F4"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8"/>
                <w:szCs w:val="18"/>
              </w:rPr>
              <w:t xml:space="preserve">C</w:t>
            </w:r>
          </w:p>
        </w:tc>
      </w:tr>
      <w:tr>
        <w:trPr>
          <w:cantSplit/>
        </w:trPr>
        <w:tc>
          <w:tcPr>
            <w:tcW w:type="dxa" w:w="700"/>
            <w:shd w:fill="F2F6FA" w:color="auto" w:val="clear"/>
            <w:tcMar>
              <w:top w:type="dxa" w:w="60"/>
              <w:left w:type="dxa" w:w="90"/>
              <w:bottom w:type="dxa" w:w="60"/>
              <w:right w:type="dxa" w:w="90"/>
            </w:tcMar>
            <w:vAlign w:val="top"/>
          </w:tcPr>
          <w:p>
            <w:pPr>
              <w:spacing w:after="0" w:line="252"/>
            </w:pPr>
            <w:r>
              <w:rPr>
                <w:rFonts w:ascii="Calibri" w:cs="Calibri" w:eastAsia="Calibri" w:hAnsi="Calibri"/>
                <w:b w:val="false"/>
                <w:bCs w:val="false"/>
                <w:sz w:val="18"/>
                <w:szCs w:val="18"/>
              </w:rPr>
              <w:t xml:space="preserve">F3</w:t>
            </w:r>
          </w:p>
        </w:tc>
        <w:tc>
          <w:tcPr>
            <w:tcW w:type="dxa" w:w="3538"/>
            <w:shd w:fill="F2F6FA" w:color="auto" w:val="clear"/>
            <w:tcMar>
              <w:top w:type="dxa" w:w="60"/>
              <w:left w:type="dxa" w:w="90"/>
              <w:bottom w:type="dxa" w:w="60"/>
              <w:right w:type="dxa" w:w="90"/>
            </w:tcMar>
            <w:vAlign w:val="top"/>
          </w:tcPr>
          <w:p>
            <w:pPr>
              <w:spacing w:after="0" w:line="252"/>
            </w:pPr>
            <w:r>
              <w:rPr>
                <w:rFonts w:ascii="Calibri" w:cs="Calibri" w:eastAsia="Calibri" w:hAnsi="Calibri"/>
                <w:b w:val="false"/>
                <w:bCs w:val="false"/>
                <w:sz w:val="18"/>
                <w:szCs w:val="18"/>
              </w:rPr>
              <w:t xml:space="preserve">Agrarförderung, Wolfsriss, Wildschaden, Hagelschaden</w:t>
            </w:r>
          </w:p>
        </w:tc>
        <w:tc>
          <w:tcPr>
            <w:tcW w:type="dxa" w:w="1100"/>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mittel</w:t>
            </w:r>
          </w:p>
        </w:tc>
        <w:tc>
          <w:tcPr>
            <w:tcW w:type="dxa" w:w="900"/>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4</w:t>
            </w:r>
          </w:p>
        </w:tc>
        <w:tc>
          <w:tcPr>
            <w:tcW w:type="dxa" w:w="1100"/>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niedrig</w:t>
            </w:r>
          </w:p>
        </w:tc>
        <w:tc>
          <w:tcPr>
            <w:tcW w:type="dxa" w:w="1300"/>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mittel</w:t>
            </w:r>
          </w:p>
        </w:tc>
        <w:tc>
          <w:tcPr>
            <w:tcW w:type="dxa" w:w="1000"/>
            <w:shd w:fill="FFF2CC"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8"/>
                <w:szCs w:val="18"/>
              </w:rPr>
              <w:t xml:space="preserve">B</w:t>
            </w:r>
          </w:p>
        </w:tc>
      </w:tr>
      <w:tr>
        <w:trPr>
          <w:cantSplit/>
        </w:trPr>
        <w:tc>
          <w:tcPr>
            <w:tcW w:type="dxa" w:w="700"/>
            <w:tcMar>
              <w:top w:type="dxa" w:w="60"/>
              <w:left w:type="dxa" w:w="90"/>
              <w:bottom w:type="dxa" w:w="60"/>
              <w:right w:type="dxa" w:w="90"/>
            </w:tcMar>
            <w:vAlign w:val="top"/>
          </w:tcPr>
          <w:p>
            <w:pPr>
              <w:spacing w:after="0" w:line="252"/>
            </w:pPr>
            <w:r>
              <w:rPr>
                <w:rFonts w:ascii="Calibri" w:cs="Calibri" w:eastAsia="Calibri" w:hAnsi="Calibri"/>
                <w:b w:val="false"/>
                <w:bCs w:val="false"/>
                <w:sz w:val="18"/>
                <w:szCs w:val="18"/>
              </w:rPr>
              <w:t xml:space="preserve">F4</w:t>
            </w:r>
          </w:p>
        </w:tc>
        <w:tc>
          <w:tcPr>
            <w:tcW w:type="dxa" w:w="3538"/>
            <w:tcMar>
              <w:top w:type="dxa" w:w="60"/>
              <w:left w:type="dxa" w:w="90"/>
              <w:bottom w:type="dxa" w:w="60"/>
              <w:right w:type="dxa" w:w="90"/>
            </w:tcMar>
            <w:vAlign w:val="top"/>
          </w:tcPr>
          <w:p>
            <w:pPr>
              <w:spacing w:after="0" w:line="252"/>
            </w:pPr>
            <w:r>
              <w:rPr>
                <w:rFonts w:ascii="Calibri" w:cs="Calibri" w:eastAsia="Calibri" w:hAnsi="Calibri"/>
                <w:b w:val="false"/>
                <w:bCs w:val="false"/>
                <w:sz w:val="18"/>
                <w:szCs w:val="18"/>
              </w:rPr>
              <w:t xml:space="preserve">Umwelt-, Lieferketten- und CO2-Nachweise</w:t>
            </w:r>
          </w:p>
        </w:tc>
        <w:tc>
          <w:tcPr>
            <w:tcW w:type="dxa" w:w="1100"/>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hoch</w:t>
            </w:r>
          </w:p>
        </w:tc>
        <w:tc>
          <w:tcPr>
            <w:tcW w:type="dxa" w:w="900"/>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3</w:t>
            </w:r>
          </w:p>
        </w:tc>
        <w:tc>
          <w:tcPr>
            <w:tcW w:type="dxa" w:w="1100"/>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niedrig</w:t>
            </w:r>
          </w:p>
        </w:tc>
        <w:tc>
          <w:tcPr>
            <w:tcW w:type="dxa" w:w="1300"/>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niedrig</w:t>
            </w:r>
          </w:p>
        </w:tc>
        <w:tc>
          <w:tcPr>
            <w:tcW w:type="dxa" w:w="1000"/>
            <w:shd w:fill="F4F4F4"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8"/>
                <w:szCs w:val="18"/>
              </w:rPr>
              <w:t xml:space="preserve">C</w:t>
            </w:r>
          </w:p>
        </w:tc>
      </w:tr>
      <w:tr>
        <w:trPr>
          <w:cantSplit/>
        </w:trPr>
        <w:tc>
          <w:tcPr>
            <w:tcW w:type="dxa" w:w="700"/>
            <w:shd w:fill="F2F6FA" w:color="auto" w:val="clear"/>
            <w:tcMar>
              <w:top w:type="dxa" w:w="60"/>
              <w:left w:type="dxa" w:w="90"/>
              <w:bottom w:type="dxa" w:w="60"/>
              <w:right w:type="dxa" w:w="90"/>
            </w:tcMar>
            <w:vAlign w:val="top"/>
          </w:tcPr>
          <w:p>
            <w:pPr>
              <w:spacing w:after="0" w:line="252"/>
            </w:pPr>
            <w:r>
              <w:rPr>
                <w:rFonts w:ascii="Calibri" w:cs="Calibri" w:eastAsia="Calibri" w:hAnsi="Calibri"/>
                <w:b w:val="false"/>
                <w:bCs w:val="false"/>
                <w:sz w:val="18"/>
                <w:szCs w:val="18"/>
              </w:rPr>
              <w:t xml:space="preserve">G1</w:t>
            </w:r>
          </w:p>
        </w:tc>
        <w:tc>
          <w:tcPr>
            <w:tcW w:type="dxa" w:w="3538"/>
            <w:shd w:fill="F2F6FA" w:color="auto" w:val="clear"/>
            <w:tcMar>
              <w:top w:type="dxa" w:w="60"/>
              <w:left w:type="dxa" w:w="90"/>
              <w:bottom w:type="dxa" w:w="60"/>
              <w:right w:type="dxa" w:w="90"/>
            </w:tcMar>
            <w:vAlign w:val="top"/>
          </w:tcPr>
          <w:p>
            <w:pPr>
              <w:spacing w:after="0" w:line="252"/>
            </w:pPr>
            <w:r>
              <w:rPr>
                <w:rFonts w:ascii="Calibri" w:cs="Calibri" w:eastAsia="Calibri" w:hAnsi="Calibri"/>
                <w:b w:val="false"/>
                <w:bCs w:val="false"/>
                <w:sz w:val="18"/>
                <w:szCs w:val="18"/>
              </w:rPr>
              <w:t xml:space="preserve">Sachverständige (Kfz, Bau, Schimmel, Schaden)</w:t>
            </w:r>
          </w:p>
        </w:tc>
        <w:tc>
          <w:tcPr>
            <w:tcW w:type="dxa" w:w="1100"/>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hoch</w:t>
            </w:r>
          </w:p>
        </w:tc>
        <w:tc>
          <w:tcPr>
            <w:tcW w:type="dxa" w:w="900"/>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3</w:t>
            </w:r>
          </w:p>
        </w:tc>
        <w:tc>
          <w:tcPr>
            <w:tcW w:type="dxa" w:w="1100"/>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mittel</w:t>
            </w:r>
          </w:p>
        </w:tc>
        <w:tc>
          <w:tcPr>
            <w:tcW w:type="dxa" w:w="1300"/>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hoch</w:t>
            </w:r>
          </w:p>
        </w:tc>
        <w:tc>
          <w:tcPr>
            <w:tcW w:type="dxa" w:w="1000"/>
            <w:shd w:fill="FFF2CC"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8"/>
                <w:szCs w:val="18"/>
              </w:rPr>
              <w:t xml:space="preserve">B</w:t>
            </w:r>
          </w:p>
        </w:tc>
      </w:tr>
      <w:tr>
        <w:trPr>
          <w:cantSplit/>
        </w:trPr>
        <w:tc>
          <w:tcPr>
            <w:tcW w:type="dxa" w:w="700"/>
            <w:tcMar>
              <w:top w:type="dxa" w:w="60"/>
              <w:left w:type="dxa" w:w="90"/>
              <w:bottom w:type="dxa" w:w="60"/>
              <w:right w:type="dxa" w:w="90"/>
            </w:tcMar>
            <w:vAlign w:val="top"/>
          </w:tcPr>
          <w:p>
            <w:pPr>
              <w:spacing w:after="0" w:line="252"/>
            </w:pPr>
            <w:r>
              <w:rPr>
                <w:rFonts w:ascii="Calibri" w:cs="Calibri" w:eastAsia="Calibri" w:hAnsi="Calibri"/>
                <w:b w:val="false"/>
                <w:bCs w:val="false"/>
                <w:sz w:val="18"/>
                <w:szCs w:val="18"/>
              </w:rPr>
              <w:t xml:space="preserve">G2</w:t>
            </w:r>
          </w:p>
        </w:tc>
        <w:tc>
          <w:tcPr>
            <w:tcW w:type="dxa" w:w="3538"/>
            <w:tcMar>
              <w:top w:type="dxa" w:w="60"/>
              <w:left w:type="dxa" w:w="90"/>
              <w:bottom w:type="dxa" w:w="60"/>
              <w:right w:type="dxa" w:w="90"/>
            </w:tcMar>
            <w:vAlign w:val="top"/>
          </w:tcPr>
          <w:p>
            <w:pPr>
              <w:spacing w:after="0" w:line="252"/>
            </w:pPr>
            <w:r>
              <w:rPr>
                <w:rFonts w:ascii="Calibri" w:cs="Calibri" w:eastAsia="Calibri" w:hAnsi="Calibri"/>
                <w:b w:val="false"/>
                <w:bCs w:val="false"/>
                <w:sz w:val="18"/>
                <w:szCs w:val="18"/>
              </w:rPr>
              <w:t xml:space="preserve">Pferde, Tiermedizin und Tierschutz</w:t>
            </w:r>
          </w:p>
        </w:tc>
        <w:tc>
          <w:tcPr>
            <w:tcW w:type="dxa" w:w="1100"/>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niedrig</w:t>
            </w:r>
          </w:p>
        </w:tc>
        <w:tc>
          <w:tcPr>
            <w:tcW w:type="dxa" w:w="900"/>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3</w:t>
            </w:r>
          </w:p>
        </w:tc>
        <w:tc>
          <w:tcPr>
            <w:tcW w:type="dxa" w:w="1100"/>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niedrig</w:t>
            </w:r>
          </w:p>
        </w:tc>
        <w:tc>
          <w:tcPr>
            <w:tcW w:type="dxa" w:w="1300"/>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mittel</w:t>
            </w:r>
          </w:p>
        </w:tc>
        <w:tc>
          <w:tcPr>
            <w:tcW w:type="dxa" w:w="1000"/>
            <w:shd w:fill="F4F4F4"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8"/>
                <w:szCs w:val="18"/>
              </w:rPr>
              <w:t xml:space="preserve">C</w:t>
            </w:r>
          </w:p>
        </w:tc>
      </w:tr>
      <w:tr>
        <w:trPr>
          <w:cantSplit/>
        </w:trPr>
        <w:tc>
          <w:tcPr>
            <w:tcW w:type="dxa" w:w="700"/>
            <w:shd w:fill="F2F6FA" w:color="auto" w:val="clear"/>
            <w:tcMar>
              <w:top w:type="dxa" w:w="60"/>
              <w:left w:type="dxa" w:w="90"/>
              <w:bottom w:type="dxa" w:w="60"/>
              <w:right w:type="dxa" w:w="90"/>
            </w:tcMar>
            <w:vAlign w:val="top"/>
          </w:tcPr>
          <w:p>
            <w:pPr>
              <w:spacing w:after="0" w:line="252"/>
            </w:pPr>
            <w:r>
              <w:rPr>
                <w:rFonts w:ascii="Calibri" w:cs="Calibri" w:eastAsia="Calibri" w:hAnsi="Calibri"/>
                <w:b w:val="false"/>
                <w:bCs w:val="false"/>
                <w:sz w:val="18"/>
                <w:szCs w:val="18"/>
              </w:rPr>
              <w:t xml:space="preserve">G3</w:t>
            </w:r>
          </w:p>
        </w:tc>
        <w:tc>
          <w:tcPr>
            <w:tcW w:type="dxa" w:w="3538"/>
            <w:shd w:fill="F2F6FA" w:color="auto" w:val="clear"/>
            <w:tcMar>
              <w:top w:type="dxa" w:w="60"/>
              <w:left w:type="dxa" w:w="90"/>
              <w:bottom w:type="dxa" w:w="60"/>
              <w:right w:type="dxa" w:w="90"/>
            </w:tcMar>
            <w:vAlign w:val="top"/>
          </w:tcPr>
          <w:p>
            <w:pPr>
              <w:spacing w:after="0" w:line="252"/>
            </w:pPr>
            <w:r>
              <w:rPr>
                <w:rFonts w:ascii="Calibri" w:cs="Calibri" w:eastAsia="Calibri" w:hAnsi="Calibri"/>
                <w:b w:val="false"/>
                <w:bCs w:val="false"/>
                <w:sz w:val="18"/>
                <w:szCs w:val="18"/>
              </w:rPr>
              <w:t xml:space="preserve">Kunst, Sammlerstücke, Luxusgüter</w:t>
            </w:r>
          </w:p>
        </w:tc>
        <w:tc>
          <w:tcPr>
            <w:tcW w:type="dxa" w:w="1100"/>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niedrig</w:t>
            </w:r>
          </w:p>
        </w:tc>
        <w:tc>
          <w:tcPr>
            <w:tcW w:type="dxa" w:w="900"/>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3</w:t>
            </w:r>
          </w:p>
        </w:tc>
        <w:tc>
          <w:tcPr>
            <w:tcW w:type="dxa" w:w="1100"/>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mittel</w:t>
            </w:r>
          </w:p>
        </w:tc>
        <w:tc>
          <w:tcPr>
            <w:tcW w:type="dxa" w:w="1300"/>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mittel</w:t>
            </w:r>
          </w:p>
        </w:tc>
        <w:tc>
          <w:tcPr>
            <w:tcW w:type="dxa" w:w="1000"/>
            <w:shd w:fill="F4F4F4"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8"/>
                <w:szCs w:val="18"/>
              </w:rPr>
              <w:t xml:space="preserve">C</w:t>
            </w:r>
          </w:p>
        </w:tc>
      </w:tr>
      <w:tr>
        <w:trPr>
          <w:cantSplit/>
        </w:trPr>
        <w:tc>
          <w:tcPr>
            <w:tcW w:type="dxa" w:w="700"/>
            <w:tcMar>
              <w:top w:type="dxa" w:w="60"/>
              <w:left w:type="dxa" w:w="90"/>
              <w:bottom w:type="dxa" w:w="60"/>
              <w:right w:type="dxa" w:w="90"/>
            </w:tcMar>
            <w:vAlign w:val="top"/>
          </w:tcPr>
          <w:p>
            <w:pPr>
              <w:spacing w:after="0" w:line="252"/>
            </w:pPr>
            <w:r>
              <w:rPr>
                <w:rFonts w:ascii="Calibri" w:cs="Calibri" w:eastAsia="Calibri" w:hAnsi="Calibri"/>
                <w:b w:val="false"/>
                <w:bCs w:val="false"/>
                <w:sz w:val="18"/>
                <w:szCs w:val="18"/>
              </w:rPr>
              <w:t xml:space="preserve">G4</w:t>
            </w:r>
          </w:p>
        </w:tc>
        <w:tc>
          <w:tcPr>
            <w:tcW w:type="dxa" w:w="3538"/>
            <w:tcMar>
              <w:top w:type="dxa" w:w="60"/>
              <w:left w:type="dxa" w:w="90"/>
              <w:bottom w:type="dxa" w:w="60"/>
              <w:right w:type="dxa" w:w="90"/>
            </w:tcMar>
            <w:vAlign w:val="top"/>
          </w:tcPr>
          <w:p>
            <w:pPr>
              <w:spacing w:after="0" w:line="252"/>
            </w:pPr>
            <w:r>
              <w:rPr>
                <w:rFonts w:ascii="Calibri" w:cs="Calibri" w:eastAsia="Calibri" w:hAnsi="Calibri"/>
                <w:b w:val="false"/>
                <w:bCs w:val="false"/>
                <w:sz w:val="18"/>
                <w:szCs w:val="18"/>
              </w:rPr>
              <w:t xml:space="preserve">Drohneninspektion (Brücken, Windkraft, Solar, Dächer)</w:t>
            </w:r>
          </w:p>
        </w:tc>
        <w:tc>
          <w:tcPr>
            <w:tcW w:type="dxa" w:w="1100"/>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mittel</w:t>
            </w:r>
          </w:p>
        </w:tc>
        <w:tc>
          <w:tcPr>
            <w:tcW w:type="dxa" w:w="900"/>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3</w:t>
            </w:r>
          </w:p>
        </w:tc>
        <w:tc>
          <w:tcPr>
            <w:tcW w:type="dxa" w:w="1100"/>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niedrig</w:t>
            </w:r>
          </w:p>
        </w:tc>
        <w:tc>
          <w:tcPr>
            <w:tcW w:type="dxa" w:w="1300"/>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mittel</w:t>
            </w:r>
          </w:p>
        </w:tc>
        <w:tc>
          <w:tcPr>
            <w:tcW w:type="dxa" w:w="1000"/>
            <w:shd w:fill="FFF2CC"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8"/>
                <w:szCs w:val="18"/>
              </w:rPr>
              <w:t xml:space="preserve">B</w:t>
            </w:r>
          </w:p>
        </w:tc>
      </w:tr>
      <w:tr>
        <w:trPr>
          <w:cantSplit/>
        </w:trPr>
        <w:tc>
          <w:tcPr>
            <w:tcW w:type="dxa" w:w="700"/>
            <w:shd w:fill="F2F6FA" w:color="auto" w:val="clear"/>
            <w:tcMar>
              <w:top w:type="dxa" w:w="60"/>
              <w:left w:type="dxa" w:w="90"/>
              <w:bottom w:type="dxa" w:w="60"/>
              <w:right w:type="dxa" w:w="90"/>
            </w:tcMar>
            <w:vAlign w:val="top"/>
          </w:tcPr>
          <w:p>
            <w:pPr>
              <w:spacing w:after="0" w:line="252"/>
            </w:pPr>
            <w:r>
              <w:rPr>
                <w:rFonts w:ascii="Calibri" w:cs="Calibri" w:eastAsia="Calibri" w:hAnsi="Calibri"/>
                <w:b w:val="false"/>
                <w:bCs w:val="false"/>
                <w:sz w:val="18"/>
                <w:szCs w:val="18"/>
              </w:rPr>
              <w:t xml:space="preserve">G5</w:t>
            </w:r>
          </w:p>
        </w:tc>
        <w:tc>
          <w:tcPr>
            <w:tcW w:type="dxa" w:w="3538"/>
            <w:shd w:fill="F2F6FA" w:color="auto" w:val="clear"/>
            <w:tcMar>
              <w:top w:type="dxa" w:w="60"/>
              <w:left w:type="dxa" w:w="90"/>
              <w:bottom w:type="dxa" w:w="60"/>
              <w:right w:type="dxa" w:w="90"/>
            </w:tcMar>
            <w:vAlign w:val="top"/>
          </w:tcPr>
          <w:p>
            <w:pPr>
              <w:spacing w:after="0" w:line="252"/>
            </w:pPr>
            <w:r>
              <w:rPr>
                <w:rFonts w:ascii="Calibri" w:cs="Calibri" w:eastAsia="Calibri" w:hAnsi="Calibri"/>
                <w:b w:val="false"/>
                <w:bCs w:val="false"/>
                <w:sz w:val="18"/>
                <w:szCs w:val="18"/>
              </w:rPr>
              <w:t xml:space="preserve">Industrie, Instandhaltung, MRO</w:t>
            </w:r>
          </w:p>
        </w:tc>
        <w:tc>
          <w:tcPr>
            <w:tcW w:type="dxa" w:w="1100"/>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hoch</w:t>
            </w:r>
          </w:p>
        </w:tc>
        <w:tc>
          <w:tcPr>
            <w:tcW w:type="dxa" w:w="900"/>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3</w:t>
            </w:r>
          </w:p>
        </w:tc>
        <w:tc>
          <w:tcPr>
            <w:tcW w:type="dxa" w:w="1100"/>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mittel</w:t>
            </w:r>
          </w:p>
        </w:tc>
        <w:tc>
          <w:tcPr>
            <w:tcW w:type="dxa" w:w="1300"/>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mittel</w:t>
            </w:r>
          </w:p>
        </w:tc>
        <w:tc>
          <w:tcPr>
            <w:tcW w:type="dxa" w:w="1000"/>
            <w:shd w:fill="F4F4F4"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8"/>
                <w:szCs w:val="18"/>
              </w:rPr>
              <w:t xml:space="preserve">C</w:t>
            </w:r>
          </w:p>
        </w:tc>
      </w:tr>
      <w:tr>
        <w:trPr>
          <w:cantSplit/>
        </w:trPr>
        <w:tc>
          <w:tcPr>
            <w:tcW w:type="dxa" w:w="700"/>
            <w:tcMar>
              <w:top w:type="dxa" w:w="60"/>
              <w:left w:type="dxa" w:w="90"/>
              <w:bottom w:type="dxa" w:w="60"/>
              <w:right w:type="dxa" w:w="90"/>
            </w:tcMar>
            <w:vAlign w:val="top"/>
          </w:tcPr>
          <w:p>
            <w:pPr>
              <w:spacing w:after="0" w:line="252"/>
            </w:pPr>
            <w:r>
              <w:rPr>
                <w:rFonts w:ascii="Calibri" w:cs="Calibri" w:eastAsia="Calibri" w:hAnsi="Calibri"/>
                <w:b w:val="false"/>
                <w:bCs w:val="false"/>
                <w:sz w:val="18"/>
                <w:szCs w:val="18"/>
              </w:rPr>
              <w:t xml:space="preserve">H1</w:t>
            </w:r>
          </w:p>
        </w:tc>
        <w:tc>
          <w:tcPr>
            <w:tcW w:type="dxa" w:w="3538"/>
            <w:tcMar>
              <w:top w:type="dxa" w:w="60"/>
              <w:left w:type="dxa" w:w="90"/>
              <w:bottom w:type="dxa" w:w="60"/>
              <w:right w:type="dxa" w:w="90"/>
            </w:tcMar>
            <w:vAlign w:val="top"/>
          </w:tcPr>
          <w:p>
            <w:pPr>
              <w:spacing w:after="0" w:line="252"/>
            </w:pPr>
            <w:r>
              <w:rPr>
                <w:rFonts w:ascii="Calibri" w:cs="Calibri" w:eastAsia="Calibri" w:hAnsi="Calibri"/>
                <w:b w:val="false"/>
                <w:bCs w:val="false"/>
                <w:sz w:val="18"/>
                <w:szCs w:val="18"/>
              </w:rPr>
              <w:t xml:space="preserve">Pflege (Wund-, Sturz- und Zustandsdokumentation)</w:t>
            </w:r>
          </w:p>
        </w:tc>
        <w:tc>
          <w:tcPr>
            <w:tcW w:type="dxa" w:w="1100"/>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hoch</w:t>
            </w:r>
          </w:p>
        </w:tc>
        <w:tc>
          <w:tcPr>
            <w:tcW w:type="dxa" w:w="900"/>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4</w:t>
            </w:r>
          </w:p>
        </w:tc>
        <w:tc>
          <w:tcPr>
            <w:tcW w:type="dxa" w:w="1100"/>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mittel</w:t>
            </w:r>
          </w:p>
        </w:tc>
        <w:tc>
          <w:tcPr>
            <w:tcW w:type="dxa" w:w="1300"/>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niedrig</w:t>
            </w:r>
          </w:p>
        </w:tc>
        <w:tc>
          <w:tcPr>
            <w:tcW w:type="dxa" w:w="1000"/>
            <w:shd w:fill="F4F4F4"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8"/>
                <w:szCs w:val="18"/>
              </w:rPr>
              <w:t xml:space="preserve">C</w:t>
            </w:r>
          </w:p>
        </w:tc>
      </w:tr>
      <w:tr>
        <w:trPr>
          <w:cantSplit/>
        </w:trPr>
        <w:tc>
          <w:tcPr>
            <w:tcW w:type="dxa" w:w="700"/>
            <w:shd w:fill="F2F6FA" w:color="auto" w:val="clear"/>
            <w:tcMar>
              <w:top w:type="dxa" w:w="60"/>
              <w:left w:type="dxa" w:w="90"/>
              <w:bottom w:type="dxa" w:w="60"/>
              <w:right w:type="dxa" w:w="90"/>
            </w:tcMar>
            <w:vAlign w:val="top"/>
          </w:tcPr>
          <w:p>
            <w:pPr>
              <w:spacing w:after="0" w:line="252"/>
            </w:pPr>
            <w:r>
              <w:rPr>
                <w:rFonts w:ascii="Calibri" w:cs="Calibri" w:eastAsia="Calibri" w:hAnsi="Calibri"/>
                <w:b w:val="false"/>
                <w:bCs w:val="false"/>
                <w:sz w:val="18"/>
                <w:szCs w:val="18"/>
              </w:rPr>
              <w:t xml:space="preserve">H2</w:t>
            </w:r>
          </w:p>
        </w:tc>
        <w:tc>
          <w:tcPr>
            <w:tcW w:type="dxa" w:w="3538"/>
            <w:shd w:fill="F2F6FA" w:color="auto" w:val="clear"/>
            <w:tcMar>
              <w:top w:type="dxa" w:w="60"/>
              <w:left w:type="dxa" w:w="90"/>
              <w:bottom w:type="dxa" w:w="60"/>
              <w:right w:type="dxa" w:w="90"/>
            </w:tcMar>
            <w:vAlign w:val="top"/>
          </w:tcPr>
          <w:p>
            <w:pPr>
              <w:spacing w:after="0" w:line="252"/>
            </w:pPr>
            <w:r>
              <w:rPr>
                <w:rFonts w:ascii="Calibri" w:cs="Calibri" w:eastAsia="Calibri" w:hAnsi="Calibri"/>
                <w:b w:val="false"/>
                <w:bCs w:val="false"/>
                <w:sz w:val="18"/>
                <w:szCs w:val="18"/>
              </w:rPr>
              <w:t xml:space="preserve">Medizin, Telemedizin, klinische Studien</w:t>
            </w:r>
          </w:p>
        </w:tc>
        <w:tc>
          <w:tcPr>
            <w:tcW w:type="dxa" w:w="1100"/>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mittel</w:t>
            </w:r>
          </w:p>
        </w:tc>
        <w:tc>
          <w:tcPr>
            <w:tcW w:type="dxa" w:w="900"/>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3</w:t>
            </w:r>
          </w:p>
        </w:tc>
        <w:tc>
          <w:tcPr>
            <w:tcW w:type="dxa" w:w="1100"/>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mittel</w:t>
            </w:r>
          </w:p>
        </w:tc>
        <w:tc>
          <w:tcPr>
            <w:tcW w:type="dxa" w:w="1300"/>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niedrig</w:t>
            </w:r>
          </w:p>
        </w:tc>
        <w:tc>
          <w:tcPr>
            <w:tcW w:type="dxa" w:w="1000"/>
            <w:shd w:fill="F4F4F4"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8"/>
                <w:szCs w:val="18"/>
              </w:rPr>
              <w:t xml:space="preserve">C</w:t>
            </w:r>
          </w:p>
        </w:tc>
      </w:tr>
      <w:tr>
        <w:trPr>
          <w:cantSplit/>
        </w:trPr>
        <w:tc>
          <w:tcPr>
            <w:tcW w:type="dxa" w:w="700"/>
            <w:tcMar>
              <w:top w:type="dxa" w:w="60"/>
              <w:left w:type="dxa" w:w="90"/>
              <w:bottom w:type="dxa" w:w="60"/>
              <w:right w:type="dxa" w:w="90"/>
            </w:tcMar>
            <w:vAlign w:val="top"/>
          </w:tcPr>
          <w:p>
            <w:pPr>
              <w:spacing w:after="0" w:line="252"/>
            </w:pPr>
            <w:r>
              <w:rPr>
                <w:rFonts w:ascii="Calibri" w:cs="Calibri" w:eastAsia="Calibri" w:hAnsi="Calibri"/>
                <w:b w:val="false"/>
                <w:bCs w:val="false"/>
                <w:sz w:val="18"/>
                <w:szCs w:val="18"/>
              </w:rPr>
              <w:t xml:space="preserve">H3</w:t>
            </w:r>
          </w:p>
        </w:tc>
        <w:tc>
          <w:tcPr>
            <w:tcW w:type="dxa" w:w="3538"/>
            <w:tcMar>
              <w:top w:type="dxa" w:w="60"/>
              <w:left w:type="dxa" w:w="90"/>
              <w:bottom w:type="dxa" w:w="60"/>
              <w:right w:type="dxa" w:w="90"/>
            </w:tcMar>
            <w:vAlign w:val="top"/>
          </w:tcPr>
          <w:p>
            <w:pPr>
              <w:spacing w:after="0" w:line="252"/>
            </w:pPr>
            <w:r>
              <w:rPr>
                <w:rFonts w:ascii="Calibri" w:cs="Calibri" w:eastAsia="Calibri" w:hAnsi="Calibri"/>
                <w:b w:val="false"/>
                <w:bCs w:val="false"/>
                <w:sz w:val="18"/>
                <w:szCs w:val="18"/>
              </w:rPr>
              <w:t xml:space="preserve">Jugendamt, Betreuung, Sozialbehörden</w:t>
            </w:r>
          </w:p>
        </w:tc>
        <w:tc>
          <w:tcPr>
            <w:tcW w:type="dxa" w:w="1100"/>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mittel</w:t>
            </w:r>
          </w:p>
        </w:tc>
        <w:tc>
          <w:tcPr>
            <w:tcW w:type="dxa" w:w="900"/>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4</w:t>
            </w:r>
          </w:p>
        </w:tc>
        <w:tc>
          <w:tcPr>
            <w:tcW w:type="dxa" w:w="1100"/>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niedrig</w:t>
            </w:r>
          </w:p>
        </w:tc>
        <w:tc>
          <w:tcPr>
            <w:tcW w:type="dxa" w:w="1300"/>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niedrig</w:t>
            </w:r>
          </w:p>
        </w:tc>
        <w:tc>
          <w:tcPr>
            <w:tcW w:type="dxa" w:w="1000"/>
            <w:shd w:fill="F4F4F4"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8"/>
                <w:szCs w:val="18"/>
              </w:rPr>
              <w:t xml:space="preserve">C</w:t>
            </w:r>
          </w:p>
        </w:tc>
      </w:tr>
      <w:tr>
        <w:trPr>
          <w:cantSplit/>
        </w:trPr>
        <w:tc>
          <w:tcPr>
            <w:tcW w:type="dxa" w:w="700"/>
            <w:shd w:fill="F2F6FA" w:color="auto" w:val="clear"/>
            <w:tcMar>
              <w:top w:type="dxa" w:w="60"/>
              <w:left w:type="dxa" w:w="90"/>
              <w:bottom w:type="dxa" w:w="60"/>
              <w:right w:type="dxa" w:w="90"/>
            </w:tcMar>
            <w:vAlign w:val="top"/>
          </w:tcPr>
          <w:p>
            <w:pPr>
              <w:spacing w:after="0" w:line="252"/>
            </w:pPr>
            <w:r>
              <w:rPr>
                <w:rFonts w:ascii="Calibri" w:cs="Calibri" w:eastAsia="Calibri" w:hAnsi="Calibri"/>
                <w:b w:val="false"/>
                <w:bCs w:val="false"/>
                <w:sz w:val="18"/>
                <w:szCs w:val="18"/>
              </w:rPr>
              <w:t xml:space="preserve">H4</w:t>
            </w:r>
          </w:p>
        </w:tc>
        <w:tc>
          <w:tcPr>
            <w:tcW w:type="dxa" w:w="3538"/>
            <w:shd w:fill="F2F6FA" w:color="auto" w:val="clear"/>
            <w:tcMar>
              <w:top w:type="dxa" w:w="60"/>
              <w:left w:type="dxa" w:w="90"/>
              <w:bottom w:type="dxa" w:w="60"/>
              <w:right w:type="dxa" w:w="90"/>
            </w:tcMar>
            <w:vAlign w:val="top"/>
          </w:tcPr>
          <w:p>
            <w:pPr>
              <w:spacing w:after="0" w:line="252"/>
            </w:pPr>
            <w:r>
              <w:rPr>
                <w:rFonts w:ascii="Calibri" w:cs="Calibri" w:eastAsia="Calibri" w:hAnsi="Calibri"/>
                <w:b w:val="false"/>
                <w:bCs w:val="false"/>
                <w:sz w:val="18"/>
                <w:szCs w:val="18"/>
              </w:rPr>
              <w:t xml:space="preserve">Justiz, Polizei, Notare, Vollstreckung</w:t>
            </w:r>
          </w:p>
        </w:tc>
        <w:tc>
          <w:tcPr>
            <w:tcW w:type="dxa" w:w="1100"/>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hoch</w:t>
            </w:r>
          </w:p>
        </w:tc>
        <w:tc>
          <w:tcPr>
            <w:tcW w:type="dxa" w:w="900"/>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4</w:t>
            </w:r>
          </w:p>
        </w:tc>
        <w:tc>
          <w:tcPr>
            <w:tcW w:type="dxa" w:w="1100"/>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mittel</w:t>
            </w:r>
          </w:p>
        </w:tc>
        <w:tc>
          <w:tcPr>
            <w:tcW w:type="dxa" w:w="1300"/>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niedrig</w:t>
            </w:r>
          </w:p>
        </w:tc>
        <w:tc>
          <w:tcPr>
            <w:tcW w:type="dxa" w:w="1000"/>
            <w:shd w:fill="F4F4F4"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8"/>
                <w:szCs w:val="18"/>
              </w:rPr>
              <w:t xml:space="preserve">C</w:t>
            </w:r>
          </w:p>
        </w:tc>
      </w:tr>
      <w:tr>
        <w:trPr>
          <w:cantSplit/>
        </w:trPr>
        <w:tc>
          <w:tcPr>
            <w:tcW w:type="dxa" w:w="700"/>
            <w:tcMar>
              <w:top w:type="dxa" w:w="60"/>
              <w:left w:type="dxa" w:w="90"/>
              <w:bottom w:type="dxa" w:w="60"/>
              <w:right w:type="dxa" w:w="90"/>
            </w:tcMar>
            <w:vAlign w:val="top"/>
          </w:tcPr>
          <w:p>
            <w:pPr>
              <w:spacing w:after="0" w:line="252"/>
            </w:pPr>
            <w:r>
              <w:rPr>
                <w:rFonts w:ascii="Calibri" w:cs="Calibri" w:eastAsia="Calibri" w:hAnsi="Calibri"/>
                <w:b w:val="false"/>
                <w:bCs w:val="false"/>
                <w:sz w:val="18"/>
                <w:szCs w:val="18"/>
              </w:rPr>
              <w:t xml:space="preserve">I1</w:t>
            </w:r>
          </w:p>
        </w:tc>
        <w:tc>
          <w:tcPr>
            <w:tcW w:type="dxa" w:w="3538"/>
            <w:tcMar>
              <w:top w:type="dxa" w:w="60"/>
              <w:left w:type="dxa" w:w="90"/>
              <w:bottom w:type="dxa" w:w="60"/>
              <w:right w:type="dxa" w:w="90"/>
            </w:tcMar>
            <w:vAlign w:val="top"/>
          </w:tcPr>
          <w:p>
            <w:pPr>
              <w:spacing w:after="0" w:line="252"/>
            </w:pPr>
            <w:r>
              <w:rPr>
                <w:rFonts w:ascii="Calibri" w:cs="Calibri" w:eastAsia="Calibri" w:hAnsi="Calibri"/>
                <w:b w:val="false"/>
                <w:bCs w:val="false"/>
                <w:sz w:val="18"/>
                <w:szCs w:val="18"/>
              </w:rPr>
              <w:t xml:space="preserve">Forschungsintegrität</w:t>
            </w:r>
          </w:p>
        </w:tc>
        <w:tc>
          <w:tcPr>
            <w:tcW w:type="dxa" w:w="1100"/>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niedrig</w:t>
            </w:r>
          </w:p>
        </w:tc>
        <w:tc>
          <w:tcPr>
            <w:tcW w:type="dxa" w:w="900"/>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4</w:t>
            </w:r>
          </w:p>
        </w:tc>
        <w:tc>
          <w:tcPr>
            <w:tcW w:type="dxa" w:w="1100"/>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mittel</w:t>
            </w:r>
          </w:p>
        </w:tc>
        <w:tc>
          <w:tcPr>
            <w:tcW w:type="dxa" w:w="1300"/>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niedrig</w:t>
            </w:r>
          </w:p>
        </w:tc>
        <w:tc>
          <w:tcPr>
            <w:tcW w:type="dxa" w:w="1000"/>
            <w:shd w:fill="F4F4F4"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8"/>
                <w:szCs w:val="18"/>
              </w:rPr>
              <w:t xml:space="preserve">C</w:t>
            </w:r>
          </w:p>
        </w:tc>
      </w:tr>
      <w:tr>
        <w:trPr>
          <w:cantSplit/>
        </w:trPr>
        <w:tc>
          <w:tcPr>
            <w:tcW w:type="dxa" w:w="700"/>
            <w:shd w:fill="F2F6FA" w:color="auto" w:val="clear"/>
            <w:tcMar>
              <w:top w:type="dxa" w:w="60"/>
              <w:left w:type="dxa" w:w="90"/>
              <w:bottom w:type="dxa" w:w="60"/>
              <w:right w:type="dxa" w:w="90"/>
            </w:tcMar>
            <w:vAlign w:val="top"/>
          </w:tcPr>
          <w:p>
            <w:pPr>
              <w:spacing w:after="0" w:line="252"/>
            </w:pPr>
            <w:r>
              <w:rPr>
                <w:rFonts w:ascii="Calibri" w:cs="Calibri" w:eastAsia="Calibri" w:hAnsi="Calibri"/>
                <w:b w:val="false"/>
                <w:bCs w:val="false"/>
                <w:sz w:val="18"/>
                <w:szCs w:val="18"/>
              </w:rPr>
              <w:t xml:space="preserve">I2</w:t>
            </w:r>
          </w:p>
        </w:tc>
        <w:tc>
          <w:tcPr>
            <w:tcW w:type="dxa" w:w="3538"/>
            <w:shd w:fill="F2F6FA" w:color="auto" w:val="clear"/>
            <w:tcMar>
              <w:top w:type="dxa" w:w="60"/>
              <w:left w:type="dxa" w:w="90"/>
              <w:bottom w:type="dxa" w:w="60"/>
              <w:right w:type="dxa" w:w="90"/>
            </w:tcMar>
            <w:vAlign w:val="top"/>
          </w:tcPr>
          <w:p>
            <w:pPr>
              <w:spacing w:after="0" w:line="252"/>
            </w:pPr>
            <w:r>
              <w:rPr>
                <w:rFonts w:ascii="Calibri" w:cs="Calibri" w:eastAsia="Calibri" w:hAnsi="Calibri"/>
                <w:b w:val="false"/>
                <w:bCs w:val="false"/>
                <w:sz w:val="18"/>
                <w:szCs w:val="18"/>
              </w:rPr>
              <w:t xml:space="preserve">Kreative, Medien, Werbung</w:t>
            </w:r>
          </w:p>
        </w:tc>
        <w:tc>
          <w:tcPr>
            <w:tcW w:type="dxa" w:w="1100"/>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mittel</w:t>
            </w:r>
          </w:p>
        </w:tc>
        <w:tc>
          <w:tcPr>
            <w:tcW w:type="dxa" w:w="900"/>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3</w:t>
            </w:r>
          </w:p>
        </w:tc>
        <w:tc>
          <w:tcPr>
            <w:tcW w:type="dxa" w:w="1100"/>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hoch</w:t>
            </w:r>
          </w:p>
        </w:tc>
        <w:tc>
          <w:tcPr>
            <w:tcW w:type="dxa" w:w="1300"/>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val="false"/>
                <w:bCs w:val="false"/>
                <w:sz w:val="18"/>
                <w:szCs w:val="18"/>
              </w:rPr>
              <w:t xml:space="preserve">niedrig</w:t>
            </w:r>
          </w:p>
        </w:tc>
        <w:tc>
          <w:tcPr>
            <w:tcW w:type="dxa" w:w="1000"/>
            <w:shd w:fill="F4F4F4"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8"/>
                <w:szCs w:val="18"/>
              </w:rPr>
              <w:t xml:space="preserve">C</w:t>
            </w:r>
          </w:p>
        </w:tc>
      </w:tr>
    </w:tbl>
    <w:p>
      <w:pPr>
        <w:spacing w:after="120"/>
      </w:pPr>
    </w:p>
    <w:p>
      <w:pPr>
        <w:spacing w:after="120" w:before="0" w:line="276"/>
      </w:pPr>
      <w:r>
        <w:rPr>
          <w:rFonts w:ascii="Calibri" w:cs="Calibri" w:eastAsia="Calibri" w:hAnsi="Calibri"/>
          <w:i/>
          <w:iCs/>
          <w:color w:val="595959"/>
          <w:sz w:val="18"/>
          <w:szCs w:val="18"/>
        </w:rPr>
        <w:t xml:space="preserve">Priorität A: sofort angehen. B: zweite Welle nach ersten Referenzen. C: beobachten, opportunistisch bei konkreter Anfrage.</w:t>
      </w:r>
    </w:p>
    <w:p>
      <w:r>
        <w:br w:type="page"/>
      </w:r>
    </w:p>
    <w:p>
      <w:pPr>
        <w:pStyle w:val="Heading1"/>
        <w:keepNext/>
        <w:spacing w:after="200" w:before="360"/>
      </w:pPr>
      <w:r>
        <w:t xml:space="preserve">4. Versicherung und Schadenregulierung (Feld A)</w:t>
      </w:r>
    </w:p>
    <w:p>
      <w:pPr>
        <w:spacing w:after="120" w:before="0" w:line="276"/>
      </w:pPr>
      <w:r>
        <w:rPr>
          <w:rFonts w:ascii="Calibri" w:cs="Calibri" w:eastAsia="Calibri" w:hAnsi="Calibri"/>
          <w:sz w:val="21"/>
          <w:szCs w:val="21"/>
        </w:rPr>
        <w:t xml:space="preserve">Versicherer sind in fast jedem anderen Segment die Instanz, die ein Foto annehmen oder ablehnen kann. Wer hier einen Standard setzt, zieht die übrigen Märkte nach. Fernregulierung per Foto ist seit der Pandemie Regelprozess, gleichzeitig lassen sich Schadensbilder heute mit Bildgeneratoren in Minuten fälschen.</w:t>
      </w:r>
    </w:p>
    <w:p>
      <w:pPr>
        <w:pStyle w:val="Heading2"/>
        <w:keepNext/>
        <w:spacing w:after="140" w:before="300"/>
      </w:pPr>
      <w:r>
        <w:t xml:space="preserve">A1 Schadenversicherer (Sach, Haftpflicht, Kfz)</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928"/>
        <w:gridCol w:w="1928"/>
        <w:gridCol w:w="1928"/>
        <w:gridCol w:w="1927"/>
        <w:gridCol w:w="1927"/>
      </w:tblGrid>
      <w:tr>
        <w:trPr>
          <w:cantSplit/>
          <w:tblHeader w:val="false"/>
        </w:trPr>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Volumen</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Schmerz (1–5)</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Wettbewerb</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Nähe zur App</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Priorität</w:t>
            </w:r>
          </w:p>
        </w:tc>
      </w:tr>
      <w:tr>
        <w:trPr>
          <w:cantSplit/>
        </w:trPr>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hoch</w:t>
            </w:r>
          </w:p>
        </w:tc>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4</w:t>
            </w:r>
          </w:p>
        </w:tc>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mittel</w:t>
            </w:r>
          </w:p>
        </w:tc>
        <w:tc>
          <w:tcPr>
            <w:tcW w:type="dxa" w:w="1927"/>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mittel</w:t>
            </w:r>
          </w:p>
        </w:tc>
        <w:tc>
          <w:tcPr>
            <w:tcW w:type="dxa" w:w="1927"/>
            <w:shd w:fill="D9EAD3"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8"/>
                <w:szCs w:val="18"/>
              </w:rPr>
              <w:t xml:space="preserve">A – sofort angehen</w:t>
            </w:r>
          </w:p>
        </w:tc>
      </w:tr>
    </w:tbl>
    <w:p>
      <w:pPr>
        <w:spacing w:after="100"/>
      </w:pPr>
    </w:p>
    <w:p>
      <w:pPr>
        <w:spacing w:after="100" w:line="276"/>
      </w:pPr>
      <w:r>
        <w:rPr>
          <w:rFonts w:ascii="Calibri" w:cs="Calibri" w:eastAsia="Calibri" w:hAnsi="Calibri"/>
          <w:b/>
          <w:bCs/>
          <w:color w:val="1F3A5F"/>
          <w:sz w:val="21"/>
          <w:szCs w:val="21"/>
        </w:rPr>
        <w:t xml:space="preserve">Bedarf. </w:t>
      </w:r>
      <w:r>
        <w:rPr>
          <w:rFonts w:ascii="Calibri" w:cs="Calibri" w:eastAsia="Calibri" w:hAnsi="Calibri"/>
          <w:sz w:val="21"/>
          <w:szCs w:val="21"/>
        </w:rPr>
        <w:t xml:space="preserve">Kleinschäden werden per App-Foto reguliert, ohne dass ein Regulierer vor Ort war. Versicherer berichten von steigenden Betrugsfällen mit nachbearbeiteten oder KI-generierten Schadensbildern. Es fehlt ein belastbarer Nachweis, wann, wo und mit welchem Gerät ein Bild entstanden ist.</w:t>
      </w:r>
    </w:p>
    <w:p>
      <w:pPr>
        <w:spacing w:after="100" w:line="276"/>
      </w:pPr>
      <w:r>
        <w:rPr>
          <w:rFonts w:ascii="Calibri" w:cs="Calibri" w:eastAsia="Calibri" w:hAnsi="Calibri"/>
          <w:b/>
          <w:bCs/>
          <w:color w:val="1F3A5F"/>
          <w:sz w:val="21"/>
          <w:szCs w:val="21"/>
        </w:rPr>
        <w:t xml:space="preserve">Wer bezahlt. </w:t>
      </w:r>
      <w:r>
        <w:rPr>
          <w:rFonts w:ascii="Calibri" w:cs="Calibri" w:eastAsia="Calibri" w:hAnsi="Calibri"/>
          <w:sz w:val="21"/>
          <w:szCs w:val="21"/>
        </w:rPr>
        <w:t xml:space="preserve">Versicherer (Schadenabteilung, Betrugsabwehr), Schadendienstleister, Assekuradeure.</w:t>
      </w:r>
    </w:p>
    <w:p>
      <w:pPr>
        <w:spacing w:after="100" w:line="276"/>
      </w:pPr>
      <w:r>
        <w:rPr>
          <w:rFonts w:ascii="Calibri" w:cs="Calibri" w:eastAsia="Calibri" w:hAnsi="Calibri"/>
          <w:b/>
          <w:bCs/>
          <w:color w:val="1F3A5F"/>
          <w:sz w:val="21"/>
          <w:szCs w:val="21"/>
        </w:rPr>
        <w:t xml:space="preserve">Auslöser. </w:t>
      </w:r>
      <w:r>
        <w:rPr>
          <w:rFonts w:ascii="Calibri" w:cs="Calibri" w:eastAsia="Calibri" w:hAnsi="Calibri"/>
          <w:sz w:val="21"/>
          <w:szCs w:val="21"/>
        </w:rPr>
        <w:t xml:space="preserve">Betrugsquote in der Fernregulierung, VAIT-/BaFin-Anforderungen an Prozesse, Kostendruck durch Vollautomatisierung (Dunkelverarbeitung), Beweislast im Prozess.</w:t>
      </w:r>
    </w:p>
    <w:p>
      <w:pPr>
        <w:spacing w:after="100" w:line="276"/>
      </w:pPr>
      <w:r>
        <w:rPr>
          <w:rFonts w:ascii="Calibri" w:cs="Calibri" w:eastAsia="Calibri" w:hAnsi="Calibri"/>
          <w:b/>
          <w:bCs/>
          <w:color w:val="1F3A5F"/>
          <w:sz w:val="21"/>
          <w:szCs w:val="21"/>
        </w:rPr>
        <w:t xml:space="preserve">Stand heute / Wettbewerb. </w:t>
      </w:r>
      <w:r>
        <w:rPr>
          <w:rFonts w:ascii="Calibri" w:cs="Calibri" w:eastAsia="Calibri" w:hAnsi="Calibri"/>
          <w:sz w:val="21"/>
          <w:szCs w:val="21"/>
        </w:rPr>
        <w:t xml:space="preserve">Truepic (USA) verkauft manipulationssichere Aufnahme an US-Versicherer. In Deutschland arbeiten Control€xpert, Innovation Group und Solera mit KI-Schadenkalkulation, aber ohne Herkunftsnachweis der Bilder. Kein deutscher Versicherer verlangt bisher signierte Fotos.</w:t>
      </w:r>
    </w:p>
    <w:p>
      <w:pPr>
        <w:pStyle w:val="Heading3"/>
        <w:keepNext/>
        <w:spacing w:after="100" w:before="220"/>
      </w:pPr>
      <w:r>
        <w:t xml:space="preserve">Potenzielle Kunden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2000"/>
        <w:gridCol w:w="2700"/>
        <w:gridCol w:w="2238"/>
      </w:tblGrid>
      <w:tr>
        <w:trPr>
          <w:cantSplit/>
          <w:tblHeader/>
        </w:trPr>
        <w:tc>
          <w:tcPr>
            <w:tcW w:type="dxa" w:w="27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Organisation</w:t>
            </w:r>
          </w:p>
        </w:tc>
        <w:tc>
          <w:tcPr>
            <w:tcW w:type="dxa" w:w="20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Typ / Sitz</w:t>
            </w:r>
          </w:p>
        </w:tc>
        <w:tc>
          <w:tcPr>
            <w:tcW w:type="dxa" w:w="27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Zielrolle (Ansprechpartner)</w:t>
            </w:r>
          </w:p>
        </w:tc>
        <w:tc>
          <w:tcPr>
            <w:tcW w:type="dxa" w:w="2238"/>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Web / Zugang</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Allianz Versicherungs-AG</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Versicherer, München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Leitung Schaden Sach/Haftpflicht; Betrugsabwehr (Fraud Management)</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allianz.de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HUK-COBURG</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Versicherer, Coburg</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Schadenmanagement Kfz; Digitalisierung Schaden</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huk.de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R+V Versicherung</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Versicherer, Wiesbaden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Schadenservice; Innovationsmanagement</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ruv.de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ERGO Group</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Versicherer, Düsseldorf</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Claims Innovation; ERGO Innovation Lab</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ergo.de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VHV Gruppe</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Bauversicherer, Hannover</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Schaden Bauleistung/Haftpflicht; Partnermanagement Bauwirtschaft</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vhv.de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Provinzial Holding</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Öffentlicher Versicherer, Münster</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Schadenmanagement; Digitalisierung</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provinzial.de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Gothaer Versicherungen</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Versicherer, Köln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Schaden Komposit; Erneuerbare Energien</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gothaer.de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Württembergische Versicherung</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Versicherer, Stuttgart</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Schadenmanagement</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wuerttembergische.de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Versicherungskammer Bayern</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Öffentlicher Versicherer, München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Schaden; Kommunalversicherung</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vkb.de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Control€xpert</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Schadendienstleister Kfz, Langenfeld</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Produktmanagement; Partnerschaften</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controlexpert.com</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Innovation Group Deutschland</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Schadendienstleister, Stuttgart</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Leitung Schadenmanagement; Business Development</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innovation.group</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GDV Gesamtverband der Versicherer</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Verband, Berlin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Ausschuss Schaden; Kriminalitätsbekämpfung/Betrugsabwehr</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gdv.de</w:t>
            </w:r>
          </w:p>
        </w:tc>
      </w:tr>
    </w:tbl>
    <w:p>
      <w:pPr>
        <w:spacing w:after="80"/>
      </w:pPr>
    </w:p>
    <w:p>
      <w:pPr>
        <w:pStyle w:val="Heading3"/>
        <w:keepNext/>
        <w:spacing w:after="100" w:before="220"/>
      </w:pPr>
      <w:r>
        <w:t xml:space="preserve">Multiplikatoren und Zugang</w:t>
      </w:r>
    </w:p>
    <w:p>
      <w:pPr>
        <w:pStyle w:val="ListParagraph"/>
        <w:numPr>
          <w:ilvl w:val="0"/>
          <w:numId w:val="2"/>
        </w:numPr>
        <w:spacing w:after="60" w:line="276"/>
      </w:pPr>
      <w:r>
        <w:rPr>
          <w:rFonts w:ascii="Calibri" w:cs="Calibri" w:eastAsia="Calibri" w:hAnsi="Calibri"/>
          <w:sz w:val="21"/>
          <w:szCs w:val="21"/>
        </w:rPr>
        <w:t xml:space="preserve">GDV-Arbeitskreis Betrugsabwehr als Türöffner zu allen Häusern gleichzeitig.</w:t>
      </w:r>
    </w:p>
    <w:p>
      <w:pPr>
        <w:pStyle w:val="ListParagraph"/>
        <w:numPr>
          <w:ilvl w:val="0"/>
          <w:numId w:val="2"/>
        </w:numPr>
        <w:spacing w:after="60" w:line="276"/>
      </w:pPr>
      <w:r>
        <w:rPr>
          <w:rFonts w:ascii="Calibri" w:cs="Calibri" w:eastAsia="Calibri" w:hAnsi="Calibri"/>
          <w:sz w:val="21"/>
          <w:szCs w:val="21"/>
        </w:rPr>
        <w:t xml:space="preserve">Schadendienstleister (Control€xpert, Innovation Group) integrieren Zulieferer in viele Versicherer auf einmal.</w:t>
      </w:r>
    </w:p>
    <w:p>
      <w:pPr>
        <w:pStyle w:val="ListParagraph"/>
        <w:numPr>
          <w:ilvl w:val="0"/>
          <w:numId w:val="2"/>
        </w:numPr>
        <w:spacing w:after="60" w:line="276"/>
      </w:pPr>
      <w:r>
        <w:rPr>
          <w:rFonts w:ascii="Calibri" w:cs="Calibri" w:eastAsia="Calibri" w:hAnsi="Calibri"/>
          <w:sz w:val="21"/>
          <w:szCs w:val="21"/>
        </w:rPr>
        <w:t xml:space="preserve">InsurTech-Hubs: InsurLab Germany (Köln), Insurtech Hub Munich.</w:t>
      </w:r>
    </w:p>
    <w:p>
      <w:pPr>
        <w:pStyle w:val="Heading3"/>
        <w:keepNext/>
        <w:spacing w:after="100" w:before="220"/>
      </w:pPr>
      <w:r>
        <w:t xml:space="preserve">Empfohlener Einstieg</w:t>
      </w:r>
    </w:p>
    <w:p>
      <w:pPr>
        <w:pStyle w:val="ListParagraph"/>
        <w:numPr>
          <w:ilvl w:val="0"/>
          <w:numId w:val="2"/>
        </w:numPr>
        <w:spacing w:after="60" w:line="276"/>
      </w:pPr>
      <w:r>
        <w:rPr>
          <w:rFonts w:ascii="Calibri" w:cs="Calibri" w:eastAsia="Calibri" w:hAnsi="Calibri"/>
          <w:sz w:val="21"/>
          <w:szCs w:val="21"/>
        </w:rPr>
        <w:t xml:space="preserve">Pilot mit einem Bauversicherer (VHV) über den Bau-Use-Case: signierte Abnahme- und Schadenfotos aus der bestehenden App.</w:t>
      </w:r>
    </w:p>
    <w:p>
      <w:pPr>
        <w:pStyle w:val="ListParagraph"/>
        <w:numPr>
          <w:ilvl w:val="0"/>
          <w:numId w:val="2"/>
        </w:numPr>
        <w:spacing w:after="60" w:line="276"/>
      </w:pPr>
      <w:r>
        <w:rPr>
          <w:rFonts w:ascii="Calibri" w:cs="Calibri" w:eastAsia="Calibri" w:hAnsi="Calibri"/>
          <w:sz w:val="21"/>
          <w:szCs w:val="21"/>
        </w:rPr>
        <w:t xml:space="preserve">Messe DKM (Dortmund) und InsurTech-Events für Erstkontakt zu Schadenleitern.</w:t>
      </w:r>
    </w:p>
    <w:p>
      <w:r>
        <w:br w:type="page"/>
      </w:r>
    </w:p>
    <w:p>
      <w:pPr>
        <w:pStyle w:val="Heading1"/>
        <w:keepNext/>
        <w:spacing w:after="200" w:before="360"/>
      </w:pPr>
      <w:r>
        <w:t xml:space="preserve">5. Bau, Immobilien und Wohnen (Feld B)</w:t>
      </w:r>
    </w:p>
    <w:p>
      <w:pPr>
        <w:spacing w:after="120" w:before="0" w:line="276"/>
      </w:pPr>
      <w:r>
        <w:rPr>
          <w:rFonts w:ascii="Calibri" w:cs="Calibri" w:eastAsia="Calibri" w:hAnsi="Calibri"/>
          <w:sz w:val="21"/>
          <w:szCs w:val="21"/>
        </w:rPr>
        <w:t xml:space="preserve">Das Heimatsegment der Abnahme-App. Es wird hier vollständig ausgearbeitet, weil die Nachbarsegmente (Hausverwaltung, Exposéfotos, Messebau) mit fast identischem Protokoll bedient werden können.</w:t>
      </w:r>
    </w:p>
    <w:p>
      <w:pPr>
        <w:pStyle w:val="Heading2"/>
        <w:keepNext/>
        <w:spacing w:after="140" w:before="300"/>
      </w:pPr>
      <w:r>
        <w:t xml:space="preserve">B1 Bauabnahme, Mängelmanagement, Gewährleistung</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928"/>
        <w:gridCol w:w="1928"/>
        <w:gridCol w:w="1928"/>
        <w:gridCol w:w="1927"/>
        <w:gridCol w:w="1927"/>
      </w:tblGrid>
      <w:tr>
        <w:trPr>
          <w:cantSplit/>
          <w:tblHeader w:val="false"/>
        </w:trPr>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Volumen</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Schmerz (1–5)</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Wettbewerb</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Nähe zur App</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Priorität</w:t>
            </w:r>
          </w:p>
        </w:tc>
      </w:tr>
      <w:tr>
        <w:trPr>
          <w:cantSplit/>
        </w:trPr>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hoch</w:t>
            </w:r>
          </w:p>
        </w:tc>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4</w:t>
            </w:r>
          </w:p>
        </w:tc>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hoch</w:t>
            </w:r>
          </w:p>
        </w:tc>
        <w:tc>
          <w:tcPr>
            <w:tcW w:type="dxa" w:w="1927"/>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sehr hoch</w:t>
            </w:r>
          </w:p>
        </w:tc>
        <w:tc>
          <w:tcPr>
            <w:tcW w:type="dxa" w:w="1927"/>
            <w:shd w:fill="D9EAD3"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8"/>
                <w:szCs w:val="18"/>
              </w:rPr>
              <w:t xml:space="preserve">A – sofort angehen</w:t>
            </w:r>
          </w:p>
        </w:tc>
      </w:tr>
    </w:tbl>
    <w:p>
      <w:pPr>
        <w:spacing w:after="100"/>
      </w:pPr>
    </w:p>
    <w:p>
      <w:pPr>
        <w:spacing w:after="100" w:line="276"/>
      </w:pPr>
      <w:r>
        <w:rPr>
          <w:rFonts w:ascii="Calibri" w:cs="Calibri" w:eastAsia="Calibri" w:hAnsi="Calibri"/>
          <w:b/>
          <w:bCs/>
          <w:color w:val="1F3A5F"/>
          <w:sz w:val="21"/>
          <w:szCs w:val="21"/>
        </w:rPr>
        <w:t xml:space="preserve">Bedarf. </w:t>
      </w:r>
      <w:r>
        <w:rPr>
          <w:rFonts w:ascii="Calibri" w:cs="Calibri" w:eastAsia="Calibri" w:hAnsi="Calibri"/>
          <w:sz w:val="21"/>
          <w:szCs w:val="21"/>
        </w:rPr>
        <w:t xml:space="preserve">Abnahmeprotokolle, Mängelrügen und Zustandsfeststellungen nach § 650g BGB entscheiden über Zahlungen und fünf Jahre Gewährleistung. Streit landet regelmäßig im selbstständigen Beweisverfahren. Fotos ohne gesicherten Zeit- und Ortsbezug werden dort angezweifelt.</w:t>
      </w:r>
    </w:p>
    <w:p>
      <w:pPr>
        <w:spacing w:after="100" w:line="276"/>
      </w:pPr>
      <w:r>
        <w:rPr>
          <w:rFonts w:ascii="Calibri" w:cs="Calibri" w:eastAsia="Calibri" w:hAnsi="Calibri"/>
          <w:b/>
          <w:bCs/>
          <w:color w:val="1F3A5F"/>
          <w:sz w:val="21"/>
          <w:szCs w:val="21"/>
        </w:rPr>
        <w:t xml:space="preserve">Wer bezahlt. </w:t>
      </w:r>
      <w:r>
        <w:rPr>
          <w:rFonts w:ascii="Calibri" w:cs="Calibri" w:eastAsia="Calibri" w:hAnsi="Calibri"/>
          <w:sz w:val="21"/>
          <w:szCs w:val="21"/>
        </w:rPr>
        <w:t xml:space="preserve">Generalunternehmer, Bauträger, Bauherren, Projektsteuerer, Bausachverständige.</w:t>
      </w:r>
    </w:p>
    <w:p>
      <w:pPr>
        <w:spacing w:after="100" w:line="276"/>
      </w:pPr>
      <w:r>
        <w:rPr>
          <w:rFonts w:ascii="Calibri" w:cs="Calibri" w:eastAsia="Calibri" w:hAnsi="Calibri"/>
          <w:b/>
          <w:bCs/>
          <w:color w:val="1F3A5F"/>
          <w:sz w:val="21"/>
          <w:szCs w:val="21"/>
        </w:rPr>
        <w:t xml:space="preserve">Auslöser. </w:t>
      </w:r>
      <w:r>
        <w:rPr>
          <w:rFonts w:ascii="Calibri" w:cs="Calibri" w:eastAsia="Calibri" w:hAnsi="Calibri"/>
          <w:sz w:val="21"/>
          <w:szCs w:val="21"/>
        </w:rPr>
        <w:t xml:space="preserve">Bauvertragsrecht 2018 (Zustandsfeststellung), steigende Zahl von Bauprozessen, Insolvenzen von Bauträgern, Digitalisierungsdruck.</w:t>
      </w:r>
    </w:p>
    <w:p>
      <w:pPr>
        <w:spacing w:after="100" w:line="276"/>
      </w:pPr>
      <w:r>
        <w:rPr>
          <w:rFonts w:ascii="Calibri" w:cs="Calibri" w:eastAsia="Calibri" w:hAnsi="Calibri"/>
          <w:b/>
          <w:bCs/>
          <w:color w:val="1F3A5F"/>
          <w:sz w:val="21"/>
          <w:szCs w:val="21"/>
        </w:rPr>
        <w:t xml:space="preserve">Stand heute / Wettbewerb. </w:t>
      </w:r>
      <w:r>
        <w:rPr>
          <w:rFonts w:ascii="Calibri" w:cs="Calibri" w:eastAsia="Calibri" w:hAnsi="Calibri"/>
          <w:sz w:val="21"/>
          <w:szCs w:val="21"/>
        </w:rPr>
        <w:t xml:space="preserve">Baustellen-Doku-Software ist dicht besetzt (PlanRadar, Capmo, Docu Tools, 123erfasst, Craftnote, Sablono), keine davon mit Beweisschicht (Gerätesignatur, qualifizierter Zeitstempel, C2PA). Das ist die Lücke.</w:t>
      </w:r>
    </w:p>
    <w:p>
      <w:pPr>
        <w:pStyle w:val="Heading3"/>
        <w:keepNext/>
        <w:spacing w:after="100" w:before="220"/>
      </w:pPr>
      <w:r>
        <w:t xml:space="preserve">Potenzielle Kunden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2000"/>
        <w:gridCol w:w="2700"/>
        <w:gridCol w:w="2238"/>
      </w:tblGrid>
      <w:tr>
        <w:trPr>
          <w:cantSplit/>
          <w:tblHeader/>
        </w:trPr>
        <w:tc>
          <w:tcPr>
            <w:tcW w:type="dxa" w:w="27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Organisation</w:t>
            </w:r>
          </w:p>
        </w:tc>
        <w:tc>
          <w:tcPr>
            <w:tcW w:type="dxa" w:w="20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Typ / Sitz</w:t>
            </w:r>
          </w:p>
        </w:tc>
        <w:tc>
          <w:tcPr>
            <w:tcW w:type="dxa" w:w="27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Zielrolle (Ansprechpartner)</w:t>
            </w:r>
          </w:p>
        </w:tc>
        <w:tc>
          <w:tcPr>
            <w:tcW w:type="dxa" w:w="2238"/>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Web / Zugang</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Ed. Züblin AG (Strabag)</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Generalunternehmer, Stuttgart</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Leitung Digitalisierung/BIM; Qualitätsmanagement</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zueblin.de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Hochtief</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Generalunternehmer, Essen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Nexplore (Digitaleinheit); QM</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hochtief.de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Goldbeck</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Systembauer, Bielefeld</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Digitalisierung Bauprozesse; Gewährleistungsmanagement</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goldbeck.de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Köster GmbH</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Generalunternehmer, Osnabrück</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Bauleitung/Qualitätsmanagement</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koester-bau.de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Zech Group</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Bau- und Immobiliengruppe, Bremen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Digitalisierung; Projektentwicklung</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zech-group.com</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Instone Real Estate</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Bauträger, Essen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Qualitätsmanagement; Kundenservice Übergabe</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instone.de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Bonava Deutschland</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Bauträger, Fürstenwalde</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Kundenservice; Gewährleistung</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bonava.de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Bauherren-Schutzbund e. V.</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Verbraucherverband, Berlin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Geschäftsführung; Bauberater-Netzwerk</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bsb-ev.de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Verband Privater Bauherren (VPB)</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Verbraucherverband, Berlin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Bundesgeschäftsstelle; Sachverständigen-Netzwerk</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vpb.de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Hauptverband der Deutschen Bauindustrie</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Verband, Berlin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Arbeitskreis Digitalisierung</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bauindustrie.de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Zentralverband Deutsches Baugewerbe (ZDB)</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Verband, Berlin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Abteilung Technik/Digitalisierung</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zdb.de</w:t>
            </w:r>
          </w:p>
        </w:tc>
      </w:tr>
    </w:tbl>
    <w:p>
      <w:pPr>
        <w:spacing w:after="80"/>
      </w:pPr>
    </w:p>
    <w:p>
      <w:pPr>
        <w:pStyle w:val="Heading3"/>
        <w:keepNext/>
        <w:spacing w:after="100" w:before="220"/>
      </w:pPr>
      <w:r>
        <w:t xml:space="preserve">Multiplikatoren und Zugang</w:t>
      </w:r>
    </w:p>
    <w:p>
      <w:pPr>
        <w:pStyle w:val="ListParagraph"/>
        <w:numPr>
          <w:ilvl w:val="0"/>
          <w:numId w:val="2"/>
        </w:numPr>
        <w:spacing w:after="60" w:line="276"/>
      </w:pPr>
      <w:r>
        <w:rPr>
          <w:rFonts w:ascii="Calibri" w:cs="Calibri" w:eastAsia="Calibri" w:hAnsi="Calibri"/>
          <w:sz w:val="21"/>
          <w:szCs w:val="21"/>
        </w:rPr>
        <w:t xml:space="preserve">Bausachverständige (VPB, BSB, Dekra) empfehlen Werkzeuge an Bauherren.</w:t>
      </w:r>
    </w:p>
    <w:p>
      <w:pPr>
        <w:pStyle w:val="ListParagraph"/>
        <w:numPr>
          <w:ilvl w:val="0"/>
          <w:numId w:val="2"/>
        </w:numPr>
        <w:spacing w:after="60" w:line="276"/>
      </w:pPr>
      <w:r>
        <w:rPr>
          <w:rFonts w:ascii="Calibri" w:cs="Calibri" w:eastAsia="Calibri" w:hAnsi="Calibri"/>
          <w:sz w:val="21"/>
          <w:szCs w:val="21"/>
        </w:rPr>
        <w:t xml:space="preserve">Bauversicherer (VHV) und Rechtsschutzversicherer profitieren direkt von belastbaren Protokollen.</w:t>
      </w:r>
    </w:p>
    <w:p>
      <w:pPr>
        <w:pStyle w:val="ListParagraph"/>
        <w:numPr>
          <w:ilvl w:val="0"/>
          <w:numId w:val="2"/>
        </w:numPr>
        <w:spacing w:after="60" w:line="276"/>
      </w:pPr>
      <w:r>
        <w:rPr>
          <w:rFonts w:ascii="Calibri" w:cs="Calibri" w:eastAsia="Calibri" w:hAnsi="Calibri"/>
          <w:sz w:val="21"/>
          <w:szCs w:val="21"/>
        </w:rPr>
        <w:t xml:space="preserve">Baurechtskanzleien als Meinungsführer für 'gerichtsfeste Dokumentation'.</w:t>
      </w:r>
    </w:p>
    <w:p>
      <w:pPr>
        <w:pStyle w:val="Heading3"/>
        <w:keepNext/>
        <w:spacing w:after="100" w:before="220"/>
      </w:pPr>
      <w:r>
        <w:t xml:space="preserve">Empfohlener Einstieg</w:t>
      </w:r>
    </w:p>
    <w:p>
      <w:pPr>
        <w:pStyle w:val="ListParagraph"/>
        <w:numPr>
          <w:ilvl w:val="0"/>
          <w:numId w:val="2"/>
        </w:numPr>
        <w:spacing w:after="60" w:line="276"/>
      </w:pPr>
      <w:r>
        <w:rPr>
          <w:rFonts w:ascii="Calibri" w:cs="Calibri" w:eastAsia="Calibri" w:hAnsi="Calibri"/>
          <w:sz w:val="21"/>
          <w:szCs w:val="21"/>
        </w:rPr>
        <w:t xml:space="preserve">Positionierung als 'gerichtsfeste Abnahme' mit Gutachten einer Baurechtskanzlei zum Beweiswert.</w:t>
      </w:r>
    </w:p>
    <w:p>
      <w:pPr>
        <w:pStyle w:val="ListParagraph"/>
        <w:numPr>
          <w:ilvl w:val="0"/>
          <w:numId w:val="2"/>
        </w:numPr>
        <w:spacing w:after="60" w:line="276"/>
      </w:pPr>
      <w:r>
        <w:rPr>
          <w:rFonts w:ascii="Calibri" w:cs="Calibri" w:eastAsia="Calibri" w:hAnsi="Calibri"/>
          <w:sz w:val="21"/>
          <w:szCs w:val="21"/>
        </w:rPr>
        <w:t xml:space="preserve">Messen: BAU München, digitalBAU, Deutscher Baugerichtstag (Hamm) für Juristen.</w:t>
      </w:r>
    </w:p>
    <w:p>
      <w:pPr>
        <w:pStyle w:val="Heading2"/>
        <w:keepNext/>
        <w:spacing w:after="140" w:before="300"/>
      </w:pPr>
      <w:r>
        <w:t xml:space="preserve">B2 Hausverwaltung, Wohnungsübergabe, Kaution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928"/>
        <w:gridCol w:w="1928"/>
        <w:gridCol w:w="1928"/>
        <w:gridCol w:w="1927"/>
        <w:gridCol w:w="1927"/>
      </w:tblGrid>
      <w:tr>
        <w:trPr>
          <w:cantSplit/>
          <w:tblHeader w:val="false"/>
        </w:trPr>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Volumen</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Schmerz (1–5)</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Wettbewerb</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Nähe zur App</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Priorität</w:t>
            </w:r>
          </w:p>
        </w:tc>
      </w:tr>
      <w:tr>
        <w:trPr>
          <w:cantSplit/>
        </w:trPr>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sehr hoch</w:t>
            </w:r>
          </w:p>
        </w:tc>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4</w:t>
            </w:r>
          </w:p>
        </w:tc>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mittel</w:t>
            </w:r>
          </w:p>
        </w:tc>
        <w:tc>
          <w:tcPr>
            <w:tcW w:type="dxa" w:w="1927"/>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sehr hoch</w:t>
            </w:r>
          </w:p>
        </w:tc>
        <w:tc>
          <w:tcPr>
            <w:tcW w:type="dxa" w:w="1927"/>
            <w:shd w:fill="D9EAD3"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8"/>
                <w:szCs w:val="18"/>
              </w:rPr>
              <w:t xml:space="preserve">A – sofort angehen</w:t>
            </w:r>
          </w:p>
        </w:tc>
      </w:tr>
    </w:tbl>
    <w:p>
      <w:pPr>
        <w:spacing w:after="100"/>
      </w:pPr>
    </w:p>
    <w:p>
      <w:pPr>
        <w:spacing w:after="100" w:line="276"/>
      </w:pPr>
      <w:r>
        <w:rPr>
          <w:rFonts w:ascii="Calibri" w:cs="Calibri" w:eastAsia="Calibri" w:hAnsi="Calibri"/>
          <w:b/>
          <w:bCs/>
          <w:color w:val="1F3A5F"/>
          <w:sz w:val="21"/>
          <w:szCs w:val="21"/>
        </w:rPr>
        <w:t xml:space="preserve">Bedarf. </w:t>
      </w:r>
      <w:r>
        <w:rPr>
          <w:rFonts w:ascii="Calibri" w:cs="Calibri" w:eastAsia="Calibri" w:hAnsi="Calibri"/>
          <w:sz w:val="21"/>
          <w:szCs w:val="21"/>
        </w:rPr>
        <w:t xml:space="preserve">Millionen Wohnungsübergaben pro Jahr. Kautionsstreit um Schönheitsreparaturen und Schäden ist einer der häufigsten Zivilrechtsfälle. Übergabeprotokolle sind meist Papier oder Handyfotos ohne gesicherten Zeitpunkt. Auch Nebenkostenabrechnungen (Zählerstand bei Übergabe) hängen daran.</w:t>
      </w:r>
    </w:p>
    <w:p>
      <w:pPr>
        <w:spacing w:after="100" w:line="276"/>
      </w:pPr>
      <w:r>
        <w:rPr>
          <w:rFonts w:ascii="Calibri" w:cs="Calibri" w:eastAsia="Calibri" w:hAnsi="Calibri"/>
          <w:b/>
          <w:bCs/>
          <w:color w:val="1F3A5F"/>
          <w:sz w:val="21"/>
          <w:szCs w:val="21"/>
        </w:rPr>
        <w:t xml:space="preserve">Wer bezahlt. </w:t>
      </w:r>
      <w:r>
        <w:rPr>
          <w:rFonts w:ascii="Calibri" w:cs="Calibri" w:eastAsia="Calibri" w:hAnsi="Calibri"/>
          <w:sz w:val="21"/>
          <w:szCs w:val="21"/>
        </w:rPr>
        <w:t xml:space="preserve">Wohnungsunternehmen, Hausverwaltungen, Vermieter, Genossenschaften; auf der Gegenseite Mietervereine.</w:t>
      </w:r>
    </w:p>
    <w:p>
      <w:pPr>
        <w:spacing w:after="100" w:line="276"/>
      </w:pPr>
      <w:r>
        <w:rPr>
          <w:rFonts w:ascii="Calibri" w:cs="Calibri" w:eastAsia="Calibri" w:hAnsi="Calibri"/>
          <w:b/>
          <w:bCs/>
          <w:color w:val="1F3A5F"/>
          <w:sz w:val="21"/>
          <w:szCs w:val="21"/>
        </w:rPr>
        <w:t xml:space="preserve">Auslöser. </w:t>
      </w:r>
      <w:r>
        <w:rPr>
          <w:rFonts w:ascii="Calibri" w:cs="Calibri" w:eastAsia="Calibri" w:hAnsi="Calibri"/>
          <w:sz w:val="21"/>
          <w:szCs w:val="21"/>
        </w:rPr>
        <w:t xml:space="preserve">Mieterschutz-Rechtsprechung (Beweislast beim Vermieter), Personalmangel in Verwaltungen, Digitalisierung der Wohnungswirtschaft.</w:t>
      </w:r>
    </w:p>
    <w:p>
      <w:pPr>
        <w:spacing w:after="100" w:line="276"/>
      </w:pPr>
      <w:r>
        <w:rPr>
          <w:rFonts w:ascii="Calibri" w:cs="Calibri" w:eastAsia="Calibri" w:hAnsi="Calibri"/>
          <w:b/>
          <w:bCs/>
          <w:color w:val="1F3A5F"/>
          <w:sz w:val="21"/>
          <w:szCs w:val="21"/>
        </w:rPr>
        <w:t xml:space="preserve">Stand heute / Wettbewerb. </w:t>
      </w:r>
      <w:r>
        <w:rPr>
          <w:rFonts w:ascii="Calibri" w:cs="Calibri" w:eastAsia="Calibri" w:hAnsi="Calibri"/>
          <w:sz w:val="21"/>
          <w:szCs w:val="21"/>
        </w:rPr>
        <w:t xml:space="preserve">Digitale Übergabeprotokolle gibt es (z. B. in ERP-Systemen wie Aareon, Haufe, Domus), aber ohne Manipulationsschutz. Mieterseite völlig unversorgt.</w:t>
      </w:r>
    </w:p>
    <w:p>
      <w:pPr>
        <w:pStyle w:val="Heading3"/>
        <w:keepNext/>
        <w:spacing w:after="100" w:before="220"/>
      </w:pPr>
      <w:r>
        <w:t xml:space="preserve">Potenzielle Kunden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2000"/>
        <w:gridCol w:w="2700"/>
        <w:gridCol w:w="2238"/>
      </w:tblGrid>
      <w:tr>
        <w:trPr>
          <w:cantSplit/>
          <w:tblHeader/>
        </w:trPr>
        <w:tc>
          <w:tcPr>
            <w:tcW w:type="dxa" w:w="27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Organisation</w:t>
            </w:r>
          </w:p>
        </w:tc>
        <w:tc>
          <w:tcPr>
            <w:tcW w:type="dxa" w:w="20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Typ / Sitz</w:t>
            </w:r>
          </w:p>
        </w:tc>
        <w:tc>
          <w:tcPr>
            <w:tcW w:type="dxa" w:w="27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Zielrolle (Ansprechpartner)</w:t>
            </w:r>
          </w:p>
        </w:tc>
        <w:tc>
          <w:tcPr>
            <w:tcW w:type="dxa" w:w="2238"/>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Web / Zugang</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Vonovia SE</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Wohnungsunternehmen, Bochum</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Leitung Bewirtschaftung; Digitalisierung/IT</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vonovia.de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LEG Immobilien</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Wohnungsunternehmen, Düsseldorf</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Kundenservice/Vermietung; Digitalisierung</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leg-wohnen.de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Deutsche Wohnen</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Wohnungsunternehmen, Berlin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Bestandsmanagement</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deutsche-wohnen.com</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TAG Immobilien</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Wohnungsunternehmen, Hamburg</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Vermietungsmanagement</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tag-ag.com</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Grand City Properties</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Wohnungsunternehmen, Berlin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Property Management</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grandcityproperties.com</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VDIV Deutschland</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Verband der Immobilienverwalter, Berlin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Geschäftsführung; Arbeitskreis Digitalisierung</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vdiv.de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Haus &amp; Grund Deutschland</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Eigentümerverband, Berlin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Bundesgeschäftsstelle; Landesverbände (Produktpartnerschaften)</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hausundgrund.de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GdW Bundesverband</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Verband Wohnungswirtschaft, Berlin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Referat Digitalisierung</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gdw.de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Deutscher Mieterbund</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Mieterverband, Berlin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Bundesgeschäftsstelle (Mieterseite als Endkunde)</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mieterbund.de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Aareon</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ERP Wohnungswirtschaft, Mainz</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Partnermanagement/Marketplace</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aareon.com</w:t>
            </w:r>
          </w:p>
        </w:tc>
      </w:tr>
    </w:tbl>
    <w:p>
      <w:pPr>
        <w:spacing w:after="80"/>
      </w:pPr>
    </w:p>
    <w:p>
      <w:pPr>
        <w:pStyle w:val="Heading3"/>
        <w:keepNext/>
        <w:spacing w:after="100" w:before="220"/>
      </w:pPr>
      <w:r>
        <w:t xml:space="preserve">Multiplikatoren und Zugang</w:t>
      </w:r>
    </w:p>
    <w:p>
      <w:pPr>
        <w:pStyle w:val="ListParagraph"/>
        <w:numPr>
          <w:ilvl w:val="0"/>
          <w:numId w:val="2"/>
        </w:numPr>
        <w:spacing w:after="60" w:line="276"/>
      </w:pPr>
      <w:r>
        <w:rPr>
          <w:rFonts w:ascii="Calibri" w:cs="Calibri" w:eastAsia="Calibri" w:hAnsi="Calibri"/>
          <w:sz w:val="21"/>
          <w:szCs w:val="21"/>
        </w:rPr>
        <w:t xml:space="preserve">Haus &amp; Grund und Mieterbund als Vertriebspartner für beide Seiten.</w:t>
      </w:r>
    </w:p>
    <w:p>
      <w:pPr>
        <w:pStyle w:val="ListParagraph"/>
        <w:numPr>
          <w:ilvl w:val="0"/>
          <w:numId w:val="2"/>
        </w:numPr>
        <w:spacing w:after="60" w:line="276"/>
      </w:pPr>
      <w:r>
        <w:rPr>
          <w:rFonts w:ascii="Calibri" w:cs="Calibri" w:eastAsia="Calibri" w:hAnsi="Calibri"/>
          <w:sz w:val="21"/>
          <w:szCs w:val="21"/>
        </w:rPr>
        <w:t xml:space="preserve">ERP-Anbieter (Aareon, Haufe) mit Marktplatz für Zusatzmodule.</w:t>
      </w:r>
    </w:p>
    <w:p>
      <w:pPr>
        <w:pStyle w:val="Heading3"/>
        <w:keepNext/>
        <w:spacing w:after="100" w:before="220"/>
      </w:pPr>
      <w:r>
        <w:t xml:space="preserve">Empfohlener Einstieg</w:t>
      </w:r>
    </w:p>
    <w:p>
      <w:pPr>
        <w:pStyle w:val="ListParagraph"/>
        <w:numPr>
          <w:ilvl w:val="0"/>
          <w:numId w:val="2"/>
        </w:numPr>
        <w:spacing w:after="60" w:line="276"/>
      </w:pPr>
      <w:r>
        <w:rPr>
          <w:rFonts w:ascii="Calibri" w:cs="Calibri" w:eastAsia="Calibri" w:hAnsi="Calibri"/>
          <w:sz w:val="21"/>
          <w:szCs w:val="21"/>
        </w:rPr>
        <w:t xml:space="preserve">Mieter-Selbstprotokoll als kostenloses Einstiegsprodukt, Vermieterlizenz als Umsatz.</w:t>
      </w:r>
    </w:p>
    <w:p>
      <w:pPr>
        <w:pStyle w:val="ListParagraph"/>
        <w:numPr>
          <w:ilvl w:val="0"/>
          <w:numId w:val="2"/>
        </w:numPr>
        <w:spacing w:after="60" w:line="276"/>
      </w:pPr>
      <w:r>
        <w:rPr>
          <w:rFonts w:ascii="Calibri" w:cs="Calibri" w:eastAsia="Calibri" w:hAnsi="Calibri"/>
          <w:sz w:val="21"/>
          <w:szCs w:val="21"/>
        </w:rPr>
        <w:t xml:space="preserve">Messe: Expo Real (München), Verwaltertag des VDIV.</w:t>
      </w:r>
    </w:p>
    <w:p>
      <w:pPr>
        <w:pStyle w:val="Heading2"/>
        <w:keepNext/>
        <w:spacing w:after="140" w:before="300"/>
      </w:pPr>
      <w:r>
        <w:t xml:space="preserve">B3 Immobilienanzeigen und Exposéfotos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928"/>
        <w:gridCol w:w="1928"/>
        <w:gridCol w:w="1928"/>
        <w:gridCol w:w="1927"/>
        <w:gridCol w:w="1927"/>
      </w:tblGrid>
      <w:tr>
        <w:trPr>
          <w:cantSplit/>
          <w:tblHeader w:val="false"/>
        </w:trPr>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Volumen</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Schmerz (1–5)</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Wettbewerb</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Nähe zur App</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Priorität</w:t>
            </w:r>
          </w:p>
        </w:tc>
      </w:tr>
      <w:tr>
        <w:trPr>
          <w:cantSplit/>
        </w:trPr>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hoch</w:t>
            </w:r>
          </w:p>
        </w:tc>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2</w:t>
            </w:r>
          </w:p>
        </w:tc>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niedrig</w:t>
            </w:r>
          </w:p>
        </w:tc>
        <w:tc>
          <w:tcPr>
            <w:tcW w:type="dxa" w:w="1927"/>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mittel</w:t>
            </w:r>
          </w:p>
        </w:tc>
        <w:tc>
          <w:tcPr>
            <w:tcW w:type="dxa" w:w="1927"/>
            <w:shd w:fill="F4F4F4"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8"/>
                <w:szCs w:val="18"/>
              </w:rPr>
              <w:t xml:space="preserve">C – beobachten / opportunistisch</w:t>
            </w:r>
          </w:p>
        </w:tc>
      </w:tr>
    </w:tbl>
    <w:p>
      <w:pPr>
        <w:spacing w:after="100"/>
      </w:pPr>
    </w:p>
    <w:p>
      <w:pPr>
        <w:spacing w:after="100" w:line="276"/>
      </w:pPr>
      <w:r>
        <w:rPr>
          <w:rFonts w:ascii="Calibri" w:cs="Calibri" w:eastAsia="Calibri" w:hAnsi="Calibri"/>
          <w:b/>
          <w:bCs/>
          <w:color w:val="1F3A5F"/>
          <w:sz w:val="21"/>
          <w:szCs w:val="21"/>
        </w:rPr>
        <w:t xml:space="preserve">Bedarf. </w:t>
      </w:r>
      <w:r>
        <w:rPr>
          <w:rFonts w:ascii="Calibri" w:cs="Calibri" w:eastAsia="Calibri" w:hAnsi="Calibri"/>
          <w:sz w:val="21"/>
          <w:szCs w:val="21"/>
        </w:rPr>
        <w:t xml:space="preserve">Virtuelles Staging, entfernte Stromleitungen, aufgehellte Räume: KI-bearbeitete Objektfotos täuschen Käufer und Mieter. Portale und Verbraucherschützer werden Kennzeichnung fordern. Ein Echtheitssiegel für Exposéfotos ist ein Vertrauensmerkmal für Makler.</w:t>
      </w:r>
    </w:p>
    <w:p>
      <w:pPr>
        <w:spacing w:after="100" w:line="276"/>
      </w:pPr>
      <w:r>
        <w:rPr>
          <w:rFonts w:ascii="Calibri" w:cs="Calibri" w:eastAsia="Calibri" w:hAnsi="Calibri"/>
          <w:b/>
          <w:bCs/>
          <w:color w:val="1F3A5F"/>
          <w:sz w:val="21"/>
          <w:szCs w:val="21"/>
        </w:rPr>
        <w:t xml:space="preserve">Wer bezahlt. </w:t>
      </w:r>
      <w:r>
        <w:rPr>
          <w:rFonts w:ascii="Calibri" w:cs="Calibri" w:eastAsia="Calibri" w:hAnsi="Calibri"/>
          <w:sz w:val="21"/>
          <w:szCs w:val="21"/>
        </w:rPr>
        <w:t xml:space="preserve">Immobilienportale, Maklerketten, Maklerverbände.</w:t>
      </w:r>
    </w:p>
    <w:p>
      <w:pPr>
        <w:spacing w:after="100" w:line="276"/>
      </w:pPr>
      <w:r>
        <w:rPr>
          <w:rFonts w:ascii="Calibri" w:cs="Calibri" w:eastAsia="Calibri" w:hAnsi="Calibri"/>
          <w:b/>
          <w:bCs/>
          <w:color w:val="1F3A5F"/>
          <w:sz w:val="21"/>
          <w:szCs w:val="21"/>
        </w:rPr>
        <w:t xml:space="preserve">Auslöser. </w:t>
      </w:r>
      <w:r>
        <w:rPr>
          <w:rFonts w:ascii="Calibri" w:cs="Calibri" w:eastAsia="Calibri" w:hAnsi="Calibri"/>
          <w:sz w:val="21"/>
          <w:szCs w:val="21"/>
        </w:rPr>
        <w:t xml:space="preserve">EU AI Act Kennzeichnungspflichten, Wettbewerbsrecht (Irreführung), Vertrauenskrise bei Online-Inseraten.</w:t>
      </w:r>
    </w:p>
    <w:p>
      <w:pPr>
        <w:spacing w:after="100" w:line="276"/>
      </w:pPr>
      <w:r>
        <w:rPr>
          <w:rFonts w:ascii="Calibri" w:cs="Calibri" w:eastAsia="Calibri" w:hAnsi="Calibri"/>
          <w:b/>
          <w:bCs/>
          <w:color w:val="1F3A5F"/>
          <w:sz w:val="21"/>
          <w:szCs w:val="21"/>
        </w:rPr>
        <w:t xml:space="preserve">Stand heute / Wettbewerb. </w:t>
      </w:r>
      <w:r>
        <w:rPr>
          <w:rFonts w:ascii="Calibri" w:cs="Calibri" w:eastAsia="Calibri" w:hAnsi="Calibri"/>
          <w:sz w:val="21"/>
          <w:szCs w:val="21"/>
        </w:rPr>
        <w:t xml:space="preserve">Keine Lösung am Markt. Portale prüfen Fotos nur auf Duplikate und Betrugsanzeigen.</w:t>
      </w:r>
    </w:p>
    <w:p>
      <w:pPr>
        <w:pStyle w:val="Heading3"/>
        <w:keepNext/>
        <w:spacing w:after="100" w:before="220"/>
      </w:pPr>
      <w:r>
        <w:t xml:space="preserve">Potenzielle Kunden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2000"/>
        <w:gridCol w:w="2700"/>
        <w:gridCol w:w="2238"/>
      </w:tblGrid>
      <w:tr>
        <w:trPr>
          <w:cantSplit/>
          <w:tblHeader/>
        </w:trPr>
        <w:tc>
          <w:tcPr>
            <w:tcW w:type="dxa" w:w="27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Organisation</w:t>
            </w:r>
          </w:p>
        </w:tc>
        <w:tc>
          <w:tcPr>
            <w:tcW w:type="dxa" w:w="20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Typ / Sitz</w:t>
            </w:r>
          </w:p>
        </w:tc>
        <w:tc>
          <w:tcPr>
            <w:tcW w:type="dxa" w:w="27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Zielrolle (Ansprechpartner)</w:t>
            </w:r>
          </w:p>
        </w:tc>
        <w:tc>
          <w:tcPr>
            <w:tcW w:type="dxa" w:w="2238"/>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Web / Zugang</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ImmoScout24</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Portal, Berlin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Trust &amp; Safety; Produktmanagement Anbieter</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immobilienscout24.de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Immowelt (AVIV Group)</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Portal, Nürnberg</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Produktmanagement; Qualitätssicherung Inserate</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immowelt.de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Kleinanzeigen</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Portal, Berlin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Trust &amp; Safety</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kleinanzeigen.de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Engel &amp; Völkers</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Maklernetzwerk, Hamburg</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Marketing/Brand; Digital Products</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engelvoelkers.com</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Von Poll Immobilien</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Maklernetzwerk, Frankfurt</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Marketing; IT</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von-poll.com</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McMakler</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Digitalmakler, Berlin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Produkt; Operations</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mcmakler.de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IVD Immobilienverband Deutschland</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Verband, Berlin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Bundesgeschäftsstelle; Qualitätsstandards</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ivd.net</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Sprengnetter</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Bewertung/Software, Bad Neuenahr</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Produktmanagement (Objektfotos in Gutachten)</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sprengnetter.de</w:t>
            </w:r>
          </w:p>
        </w:tc>
      </w:tr>
    </w:tbl>
    <w:p>
      <w:pPr>
        <w:spacing w:after="80"/>
      </w:pPr>
    </w:p>
    <w:p>
      <w:pPr>
        <w:pStyle w:val="Heading3"/>
        <w:keepNext/>
        <w:spacing w:after="100" w:before="220"/>
      </w:pPr>
      <w:r>
        <w:t xml:space="preserve">Multiplikatoren und Zugang</w:t>
      </w:r>
    </w:p>
    <w:p>
      <w:pPr>
        <w:pStyle w:val="ListParagraph"/>
        <w:numPr>
          <w:ilvl w:val="0"/>
          <w:numId w:val="2"/>
        </w:numPr>
        <w:spacing w:after="60" w:line="276"/>
      </w:pPr>
      <w:r>
        <w:rPr>
          <w:rFonts w:ascii="Calibri" w:cs="Calibri" w:eastAsia="Calibri" w:hAnsi="Calibri"/>
          <w:sz w:val="21"/>
          <w:szCs w:val="21"/>
        </w:rPr>
        <w:t xml:space="preserve">IVD-Qualitätssiegel als Träger.</w:t>
      </w:r>
    </w:p>
    <w:p>
      <w:pPr>
        <w:pStyle w:val="ListParagraph"/>
        <w:numPr>
          <w:ilvl w:val="0"/>
          <w:numId w:val="2"/>
        </w:numPr>
        <w:spacing w:after="60" w:line="276"/>
      </w:pPr>
      <w:r>
        <w:rPr>
          <w:rFonts w:ascii="Calibri" w:cs="Calibri" w:eastAsia="Calibri" w:hAnsi="Calibri"/>
          <w:sz w:val="21"/>
          <w:szCs w:val="21"/>
        </w:rPr>
        <w:t xml:space="preserve">Portale können das Siegel als Ranking-Faktor einführen.</w:t>
      </w:r>
    </w:p>
    <w:p>
      <w:pPr>
        <w:pStyle w:val="Heading3"/>
        <w:keepNext/>
        <w:spacing w:after="100" w:before="220"/>
      </w:pPr>
      <w:r>
        <w:t xml:space="preserve">Empfohlener Einstieg</w:t>
      </w:r>
    </w:p>
    <w:p>
      <w:pPr>
        <w:pStyle w:val="ListParagraph"/>
        <w:numPr>
          <w:ilvl w:val="0"/>
          <w:numId w:val="2"/>
        </w:numPr>
        <w:spacing w:after="60" w:line="276"/>
      </w:pPr>
      <w:r>
        <w:rPr>
          <w:rFonts w:ascii="Calibri" w:cs="Calibri" w:eastAsia="Calibri" w:hAnsi="Calibri"/>
          <w:sz w:val="21"/>
          <w:szCs w:val="21"/>
        </w:rPr>
        <w:t xml:space="preserve">Pilot mit einem Maklerverbund: 'Echtfoto-Garantie' als Marketingversprechen.</w:t>
      </w:r>
    </w:p>
    <w:p>
      <w:pPr>
        <w:pStyle w:val="Heading2"/>
        <w:keepNext/>
        <w:spacing w:after="140" w:before="300"/>
      </w:pPr>
      <w:r>
        <w:t xml:space="preserve">B4 Messebau und Veranstaltungslocations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928"/>
        <w:gridCol w:w="1928"/>
        <w:gridCol w:w="1928"/>
        <w:gridCol w:w="1927"/>
        <w:gridCol w:w="1927"/>
      </w:tblGrid>
      <w:tr>
        <w:trPr>
          <w:cantSplit/>
          <w:tblHeader w:val="false"/>
        </w:trPr>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Volumen</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Schmerz (1–5)</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Wettbewerb</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Nähe zur App</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Priorität</w:t>
            </w:r>
          </w:p>
        </w:tc>
      </w:tr>
      <w:tr>
        <w:trPr>
          <w:cantSplit/>
        </w:trPr>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mittel</w:t>
            </w:r>
          </w:p>
        </w:tc>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3</w:t>
            </w:r>
          </w:p>
        </w:tc>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niedrig</w:t>
            </w:r>
          </w:p>
        </w:tc>
        <w:tc>
          <w:tcPr>
            <w:tcW w:type="dxa" w:w="1927"/>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hoch</w:t>
            </w:r>
          </w:p>
        </w:tc>
        <w:tc>
          <w:tcPr>
            <w:tcW w:type="dxa" w:w="1927"/>
            <w:shd w:fill="FFF2CC"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8"/>
                <w:szCs w:val="18"/>
              </w:rPr>
              <w:t xml:space="preserve">B – zweite Welle</w:t>
            </w:r>
          </w:p>
        </w:tc>
      </w:tr>
    </w:tbl>
    <w:p>
      <w:pPr>
        <w:spacing w:after="100"/>
      </w:pPr>
    </w:p>
    <w:p>
      <w:pPr>
        <w:spacing w:after="100" w:line="276"/>
      </w:pPr>
      <w:r>
        <w:rPr>
          <w:rFonts w:ascii="Calibri" w:cs="Calibri" w:eastAsia="Calibri" w:hAnsi="Calibri"/>
          <w:b/>
          <w:bCs/>
          <w:color w:val="1F3A5F"/>
          <w:sz w:val="21"/>
          <w:szCs w:val="21"/>
        </w:rPr>
        <w:t xml:space="preserve">Bedarf. </w:t>
      </w:r>
      <w:r>
        <w:rPr>
          <w:rFonts w:ascii="Calibri" w:cs="Calibri" w:eastAsia="Calibri" w:hAnsi="Calibri"/>
          <w:sz w:val="21"/>
          <w:szCs w:val="21"/>
        </w:rPr>
        <w:t xml:space="preserve">Hallenübergabe an Aussteller und Rückgabe nach Abbau: Bodenschäden, Wandschäden, Ausstattung. Hoher Zeitdruck, viele Beteiligte, Schadensbelastung direkt nach der Veranstaltung. Gleiches gilt für Stadthallen, Arenen, Hochzeitslocations.</w:t>
      </w:r>
    </w:p>
    <w:p>
      <w:pPr>
        <w:spacing w:after="100" w:line="276"/>
      </w:pPr>
      <w:r>
        <w:rPr>
          <w:rFonts w:ascii="Calibri" w:cs="Calibri" w:eastAsia="Calibri" w:hAnsi="Calibri"/>
          <w:b/>
          <w:bCs/>
          <w:color w:val="1F3A5F"/>
          <w:sz w:val="21"/>
          <w:szCs w:val="21"/>
        </w:rPr>
        <w:t xml:space="preserve">Wer bezahlt. </w:t>
      </w:r>
      <w:r>
        <w:rPr>
          <w:rFonts w:ascii="Calibri" w:cs="Calibri" w:eastAsia="Calibri" w:hAnsi="Calibri"/>
          <w:sz w:val="21"/>
          <w:szCs w:val="21"/>
        </w:rPr>
        <w:t xml:space="preserve">Messegesellschaften, Messebauer, Locationbetreiber, Veranstalter.</w:t>
      </w:r>
    </w:p>
    <w:p>
      <w:pPr>
        <w:spacing w:after="100" w:line="276"/>
      </w:pPr>
      <w:r>
        <w:rPr>
          <w:rFonts w:ascii="Calibri" w:cs="Calibri" w:eastAsia="Calibri" w:hAnsi="Calibri"/>
          <w:b/>
          <w:bCs/>
          <w:color w:val="1F3A5F"/>
          <w:sz w:val="21"/>
          <w:szCs w:val="21"/>
        </w:rPr>
        <w:t xml:space="preserve">Auslöser. </w:t>
      </w:r>
      <w:r>
        <w:rPr>
          <w:rFonts w:ascii="Calibri" w:cs="Calibri" w:eastAsia="Calibri" w:hAnsi="Calibri"/>
          <w:sz w:val="21"/>
          <w:szCs w:val="21"/>
        </w:rPr>
        <w:t xml:space="preserve">Streit um Rückbaukosten, Kautionen, Haftpflichtfälle.</w:t>
      </w:r>
    </w:p>
    <w:p>
      <w:pPr>
        <w:spacing w:after="100" w:line="276"/>
      </w:pPr>
      <w:r>
        <w:rPr>
          <w:rFonts w:ascii="Calibri" w:cs="Calibri" w:eastAsia="Calibri" w:hAnsi="Calibri"/>
          <w:b/>
          <w:bCs/>
          <w:color w:val="1F3A5F"/>
          <w:sz w:val="21"/>
          <w:szCs w:val="21"/>
        </w:rPr>
        <w:t xml:space="preserve">Stand heute / Wettbewerb. </w:t>
      </w:r>
      <w:r>
        <w:rPr>
          <w:rFonts w:ascii="Calibri" w:cs="Calibri" w:eastAsia="Calibri" w:hAnsi="Calibri"/>
          <w:sz w:val="21"/>
          <w:szCs w:val="21"/>
        </w:rPr>
        <w:t xml:space="preserve">Keine spezialisierten Lösungen, Protokolle in Excel und Fotos auf Handys.</w:t>
      </w:r>
    </w:p>
    <w:p>
      <w:pPr>
        <w:pStyle w:val="Heading3"/>
        <w:keepNext/>
        <w:spacing w:after="100" w:before="220"/>
      </w:pPr>
      <w:r>
        <w:t xml:space="preserve">Potenzielle Kunden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2000"/>
        <w:gridCol w:w="2700"/>
        <w:gridCol w:w="2238"/>
      </w:tblGrid>
      <w:tr>
        <w:trPr>
          <w:cantSplit/>
          <w:tblHeader/>
        </w:trPr>
        <w:tc>
          <w:tcPr>
            <w:tcW w:type="dxa" w:w="27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Organisation</w:t>
            </w:r>
          </w:p>
        </w:tc>
        <w:tc>
          <w:tcPr>
            <w:tcW w:type="dxa" w:w="20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Typ / Sitz</w:t>
            </w:r>
          </w:p>
        </w:tc>
        <w:tc>
          <w:tcPr>
            <w:tcW w:type="dxa" w:w="27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Zielrolle (Ansprechpartner)</w:t>
            </w:r>
          </w:p>
        </w:tc>
        <w:tc>
          <w:tcPr>
            <w:tcW w:type="dxa" w:w="2238"/>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Web / Zugang</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Messe Frankfurt</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Messegesellschaft, Frankfurt</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Technischer Service / Hallenmanagement</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messefrankfurt.com</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Messe München</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Messegesellschaft, München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Technik &amp; Services</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messe-muenchen.de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Koelnmesse</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Messegesellschaft, Köln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Technische Services</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koelnmesse.de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Messe Düsseldorf</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Messegesellschaft, Düsseldorf</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Technisches Gebäudemanagement</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messe-duesseldorf.de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NürnbergMesse</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Messegesellschaft, Nürnberg</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Standbau-Services</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nuernbergmesse.de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Holtmann</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Messebauer, Langenhagen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Projektleitung; Geschäftsführung</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holtmann.de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Ambrosius Messebau</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Messebauer, Frankfurt</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Projektleitung</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ambrosius.de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FAMAB Verband Direkte Wirtschaftskommunikation</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Verband, Rheda-Wiedenbrück</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Geschäftsführung; Arbeitskreis Messebau</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famab.de</w:t>
            </w:r>
          </w:p>
        </w:tc>
      </w:tr>
    </w:tbl>
    <w:p>
      <w:pPr>
        <w:spacing w:after="80"/>
      </w:pPr>
    </w:p>
    <w:p>
      <w:pPr>
        <w:pStyle w:val="Heading3"/>
        <w:keepNext/>
        <w:spacing w:after="100" w:before="220"/>
      </w:pPr>
      <w:r>
        <w:t xml:space="preserve">Multiplikatoren und Zugang</w:t>
      </w:r>
    </w:p>
    <w:p>
      <w:pPr>
        <w:pStyle w:val="ListParagraph"/>
        <w:numPr>
          <w:ilvl w:val="0"/>
          <w:numId w:val="2"/>
        </w:numPr>
        <w:spacing w:after="60" w:line="276"/>
      </w:pPr>
      <w:r>
        <w:rPr>
          <w:rFonts w:ascii="Calibri" w:cs="Calibri" w:eastAsia="Calibri" w:hAnsi="Calibri"/>
          <w:sz w:val="21"/>
          <w:szCs w:val="21"/>
        </w:rPr>
        <w:t xml:space="preserve">FAMAB als Verband der Messebauer.</w:t>
      </w:r>
    </w:p>
    <w:p>
      <w:pPr>
        <w:pStyle w:val="ListParagraph"/>
        <w:numPr>
          <w:ilvl w:val="0"/>
          <w:numId w:val="2"/>
        </w:numPr>
        <w:spacing w:after="60" w:line="276"/>
      </w:pPr>
      <w:r>
        <w:rPr>
          <w:rFonts w:ascii="Calibri" w:cs="Calibri" w:eastAsia="Calibri" w:hAnsi="Calibri"/>
          <w:sz w:val="21"/>
          <w:szCs w:val="21"/>
        </w:rPr>
        <w:t xml:space="preserve">Veranstaltungshaftpflicht-Versicherer (z. B. über Makler).</w:t>
      </w:r>
    </w:p>
    <w:p>
      <w:pPr>
        <w:pStyle w:val="Heading3"/>
        <w:keepNext/>
        <w:spacing w:after="100" w:before="220"/>
      </w:pPr>
      <w:r>
        <w:t xml:space="preserve">Empfohlener Einstieg</w:t>
      </w:r>
    </w:p>
    <w:p>
      <w:pPr>
        <w:pStyle w:val="ListParagraph"/>
        <w:numPr>
          <w:ilvl w:val="0"/>
          <w:numId w:val="2"/>
        </w:numPr>
        <w:spacing w:after="60" w:line="276"/>
      </w:pPr>
      <w:r>
        <w:rPr>
          <w:rFonts w:ascii="Calibri" w:cs="Calibri" w:eastAsia="Calibri" w:hAnsi="Calibri"/>
          <w:sz w:val="21"/>
          <w:szCs w:val="21"/>
        </w:rPr>
        <w:t xml:space="preserve">Ein Messeplatz als Referenz, dann Rollout über Messebauer.</w:t>
      </w:r>
    </w:p>
    <w:p>
      <w:r>
        <w:br w:type="page"/>
      </w:r>
    </w:p>
    <w:p>
      <w:pPr>
        <w:pStyle w:val="Heading1"/>
        <w:keepNext/>
        <w:spacing w:after="200" w:before="360"/>
      </w:pPr>
      <w:r>
        <w:t xml:space="preserve">6. Übergabe beweglicher Sachen (Feld C)</w:t>
      </w:r>
    </w:p>
    <w:p>
      <w:pPr>
        <w:spacing w:after="120" w:before="0" w:line="276"/>
      </w:pPr>
      <w:r>
        <w:rPr>
          <w:rFonts w:ascii="Calibri" w:cs="Calibri" w:eastAsia="Calibri" w:hAnsi="Calibri"/>
          <w:sz w:val="21"/>
          <w:szCs w:val="21"/>
        </w:rPr>
        <w:t xml:space="preserve">Jede Übergabe mit Kaution oder Schadenshaftung erzeugt denselben Bedarf wie die Bauabnahme: Zustand vorher, Zustand nachher, wer war es. Das Protokoll ist fast identisch, nur die Checkliste unterscheidet sich.</w:t>
      </w:r>
    </w:p>
    <w:p>
      <w:pPr>
        <w:pStyle w:val="Heading2"/>
        <w:keepNext/>
        <w:spacing w:after="140" w:before="300"/>
      </w:pPr>
      <w:r>
        <w:t xml:space="preserve">C1 Fahrzeugrückgabe (Leasing, Vermietung, Carsharing, Fahrzeuglogistik)</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928"/>
        <w:gridCol w:w="1928"/>
        <w:gridCol w:w="1928"/>
        <w:gridCol w:w="1927"/>
        <w:gridCol w:w="1927"/>
      </w:tblGrid>
      <w:tr>
        <w:trPr>
          <w:cantSplit/>
          <w:tblHeader w:val="false"/>
        </w:trPr>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Volumen</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Schmerz (1–5)</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Wettbewerb</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Nähe zur App</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Priorität</w:t>
            </w:r>
          </w:p>
        </w:tc>
      </w:tr>
      <w:tr>
        <w:trPr>
          <w:cantSplit/>
        </w:trPr>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sehr hoch</w:t>
            </w:r>
          </w:p>
        </w:tc>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4</w:t>
            </w:r>
          </w:p>
        </w:tc>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mittel</w:t>
            </w:r>
          </w:p>
        </w:tc>
        <w:tc>
          <w:tcPr>
            <w:tcW w:type="dxa" w:w="1927"/>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sehr hoch</w:t>
            </w:r>
          </w:p>
        </w:tc>
        <w:tc>
          <w:tcPr>
            <w:tcW w:type="dxa" w:w="1927"/>
            <w:shd w:fill="D9EAD3"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8"/>
                <w:szCs w:val="18"/>
              </w:rPr>
              <w:t xml:space="preserve">A – sofort angehen</w:t>
            </w:r>
          </w:p>
        </w:tc>
      </w:tr>
    </w:tbl>
    <w:p>
      <w:pPr>
        <w:spacing w:after="100"/>
      </w:pPr>
    </w:p>
    <w:p>
      <w:pPr>
        <w:spacing w:after="100" w:line="276"/>
      </w:pPr>
      <w:r>
        <w:rPr>
          <w:rFonts w:ascii="Calibri" w:cs="Calibri" w:eastAsia="Calibri" w:hAnsi="Calibri"/>
          <w:b/>
          <w:bCs/>
          <w:color w:val="1F3A5F"/>
          <w:sz w:val="21"/>
          <w:szCs w:val="21"/>
        </w:rPr>
        <w:t xml:space="preserve">Bedarf. </w:t>
      </w:r>
      <w:r>
        <w:rPr>
          <w:rFonts w:ascii="Calibri" w:cs="Calibri" w:eastAsia="Calibri" w:hAnsi="Calibri"/>
          <w:sz w:val="21"/>
          <w:szCs w:val="21"/>
        </w:rPr>
        <w:t xml:space="preserve">Schäden bei Rückgabe sind die größte Streitquelle in Leasing und Vermietung. Kunden bestreiten Kratzer, Vermieter belasten Kreditkarten. Bei Carsharing gibt es keinen Mitarbeiter bei der Übergabe, der Nutzer dokumentiert selbst. Fahrzeuglogistiker haften bei Transportschäden.</w:t>
      </w:r>
    </w:p>
    <w:p>
      <w:pPr>
        <w:spacing w:after="100" w:line="276"/>
      </w:pPr>
      <w:r>
        <w:rPr>
          <w:rFonts w:ascii="Calibri" w:cs="Calibri" w:eastAsia="Calibri" w:hAnsi="Calibri"/>
          <w:b/>
          <w:bCs/>
          <w:color w:val="1F3A5F"/>
          <w:sz w:val="21"/>
          <w:szCs w:val="21"/>
        </w:rPr>
        <w:t xml:space="preserve">Wer bezahlt. </w:t>
      </w:r>
      <w:r>
        <w:rPr>
          <w:rFonts w:ascii="Calibri" w:cs="Calibri" w:eastAsia="Calibri" w:hAnsi="Calibri"/>
          <w:sz w:val="21"/>
          <w:szCs w:val="21"/>
        </w:rPr>
        <w:t xml:space="preserve">Leasinggesellschaften, Autovermieter, Carsharing-Anbieter, Fahrzeuglogistiker, Flottenbetreiber, Autohäuser.</w:t>
      </w:r>
    </w:p>
    <w:p>
      <w:pPr>
        <w:spacing w:after="100" w:line="276"/>
      </w:pPr>
      <w:r>
        <w:rPr>
          <w:rFonts w:ascii="Calibri" w:cs="Calibri" w:eastAsia="Calibri" w:hAnsi="Calibri"/>
          <w:b/>
          <w:bCs/>
          <w:color w:val="1F3A5F"/>
          <w:sz w:val="21"/>
          <w:szCs w:val="21"/>
        </w:rPr>
        <w:t xml:space="preserve">Auslöser. </w:t>
      </w:r>
      <w:r>
        <w:rPr>
          <w:rFonts w:ascii="Calibri" w:cs="Calibri" w:eastAsia="Calibri" w:hAnsi="Calibri"/>
          <w:sz w:val="21"/>
          <w:szCs w:val="21"/>
        </w:rPr>
        <w:t xml:space="preserve">Millionen Rückgaben pro Jahr, Chargeback-Streit, Verbraucherschutzurteile zu Schadenpauschalen.</w:t>
      </w:r>
    </w:p>
    <w:p>
      <w:pPr>
        <w:spacing w:after="100" w:line="276"/>
      </w:pPr>
      <w:r>
        <w:rPr>
          <w:rFonts w:ascii="Calibri" w:cs="Calibri" w:eastAsia="Calibri" w:hAnsi="Calibri"/>
          <w:b/>
          <w:bCs/>
          <w:color w:val="1F3A5F"/>
          <w:sz w:val="21"/>
          <w:szCs w:val="21"/>
        </w:rPr>
        <w:t xml:space="preserve">Stand heute / Wettbewerb. </w:t>
      </w:r>
      <w:r>
        <w:rPr>
          <w:rFonts w:ascii="Calibri" w:cs="Calibri" w:eastAsia="Calibri" w:hAnsi="Calibri"/>
          <w:sz w:val="21"/>
          <w:szCs w:val="21"/>
        </w:rPr>
        <w:t xml:space="preserve">KI-Schadenscans (ProovStation, UVeye, Ravin AI, WENN) für stationäre Standorte; Record360 (USA) für Übergabeprotokolle. Für mobile Übergaben ohne Scanner-Portal fehlt eine beweissichere Lösung.</w:t>
      </w:r>
    </w:p>
    <w:p>
      <w:pPr>
        <w:pStyle w:val="Heading3"/>
        <w:keepNext/>
        <w:spacing w:after="100" w:before="220"/>
      </w:pPr>
      <w:r>
        <w:t xml:space="preserve">Potenzielle Kunden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2000"/>
        <w:gridCol w:w="2700"/>
        <w:gridCol w:w="2238"/>
      </w:tblGrid>
      <w:tr>
        <w:trPr>
          <w:cantSplit/>
          <w:tblHeader/>
        </w:trPr>
        <w:tc>
          <w:tcPr>
            <w:tcW w:type="dxa" w:w="27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Organisation</w:t>
            </w:r>
          </w:p>
        </w:tc>
        <w:tc>
          <w:tcPr>
            <w:tcW w:type="dxa" w:w="20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Typ / Sitz</w:t>
            </w:r>
          </w:p>
        </w:tc>
        <w:tc>
          <w:tcPr>
            <w:tcW w:type="dxa" w:w="27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Zielrolle (Ansprechpartner)</w:t>
            </w:r>
          </w:p>
        </w:tc>
        <w:tc>
          <w:tcPr>
            <w:tcW w:type="dxa" w:w="2238"/>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Web / Zugang</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Sixt SE</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Autovermieter, Pullach</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Damage Management; Product/Tech</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sixt.de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Europcar Mobility Group Deutschland</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Autovermieter, Hamburg</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Schadenmanagement</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europcar.de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Enterprise Mobility Deutschland</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Autovermieter, Eschborn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Damage Recovery Unit</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enterprise.de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Buchbinder Rent-a-Car</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Autovermieter, Regensburg</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Schadenabteilung</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buchbinder.de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Ayvens (ALD/LeasePlan)</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Leasing, Hamburg</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Remarketing/Fahrzeugrücknahme</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ayvens.com</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Deutsche Leasing</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Leasing, Bad Homburg</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Fahrzeugrücknahme; Digitalisierung</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deutsche-leasing.com</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Volkswagen Financial Services</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Leasing, Braunschweig</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Fahrzeugrücknahme; Schadenbewertung</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vwfs.de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Mercedes-Benz Mobility</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Leasing, Stuttgart</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Remarketing; Rückgabeprozesse</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mercedes-benz-mobility.com</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MILES Mobility</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Carsharing, Berlin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Damage Operations; Product</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miles-mobility.com</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Free2Move (Share Now)</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Carsharing, Berlin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Damage &amp; Claims</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free2move.com</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cambio CarSharing</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Carsharing, Bremen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Flottenmanagement</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cambio-carsharing.de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Bundesverband CarSharing (bcs)</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Verband, Berlin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Geschäftsführung</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carsharing.de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Bundesverband Deutscher Leasing-Unternehmen (BDL)</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Verband, Berlin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Arbeitskreis Kfz-Leasing</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bdl-leasing-verband.de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Mosolf Group</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Fahrzeuglogistik, Kirchheim/Teck</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Schadenmanagement; Qualitätssicherung</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mosolf.com</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BLG Logistics (Automobile)</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Fahrzeuglogistik, Bremen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Damage Management Automobile</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blg-logistics.com</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DAT Deutsche Automobil Treuhand</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Daten/Bewertung, Ostfildern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Produktmanagement (Rücknahmebewertung)</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dat.de</w:t>
            </w:r>
          </w:p>
        </w:tc>
      </w:tr>
    </w:tbl>
    <w:p>
      <w:pPr>
        <w:spacing w:after="80"/>
      </w:pPr>
    </w:p>
    <w:p>
      <w:pPr>
        <w:pStyle w:val="Heading3"/>
        <w:keepNext/>
        <w:spacing w:after="100" w:before="220"/>
      </w:pPr>
      <w:r>
        <w:t xml:space="preserve">Multiplikatoren und Zugang</w:t>
      </w:r>
    </w:p>
    <w:p>
      <w:pPr>
        <w:pStyle w:val="ListParagraph"/>
        <w:numPr>
          <w:ilvl w:val="0"/>
          <w:numId w:val="2"/>
        </w:numPr>
        <w:spacing w:after="60" w:line="276"/>
      </w:pPr>
      <w:r>
        <w:rPr>
          <w:rFonts w:ascii="Calibri" w:cs="Calibri" w:eastAsia="Calibri" w:hAnsi="Calibri"/>
          <w:sz w:val="21"/>
          <w:szCs w:val="21"/>
        </w:rPr>
        <w:t xml:space="preserve">DAT und Schwacke als Datenstandard für Rücknahmebewertung.</w:t>
      </w:r>
    </w:p>
    <w:p>
      <w:pPr>
        <w:pStyle w:val="ListParagraph"/>
        <w:numPr>
          <w:ilvl w:val="0"/>
          <w:numId w:val="2"/>
        </w:numPr>
        <w:spacing w:after="60" w:line="276"/>
      </w:pPr>
      <w:r>
        <w:rPr>
          <w:rFonts w:ascii="Calibri" w:cs="Calibri" w:eastAsia="Calibri" w:hAnsi="Calibri"/>
          <w:sz w:val="21"/>
          <w:szCs w:val="21"/>
        </w:rPr>
        <w:t xml:space="preserve">Dekra und TÜV als Rücknahmegutachter.</w:t>
      </w:r>
    </w:p>
    <w:p>
      <w:pPr>
        <w:pStyle w:val="ListParagraph"/>
        <w:numPr>
          <w:ilvl w:val="0"/>
          <w:numId w:val="2"/>
        </w:numPr>
        <w:spacing w:after="60" w:line="276"/>
      </w:pPr>
      <w:r>
        <w:rPr>
          <w:rFonts w:ascii="Calibri" w:cs="Calibri" w:eastAsia="Calibri" w:hAnsi="Calibri"/>
          <w:sz w:val="21"/>
          <w:szCs w:val="21"/>
        </w:rPr>
        <w:t xml:space="preserve">Kfz-Versicherer (HUK, Allianz) für Kaskoschäden bei Mietwagen.</w:t>
      </w:r>
    </w:p>
    <w:p>
      <w:pPr>
        <w:pStyle w:val="Heading3"/>
        <w:keepNext/>
        <w:spacing w:after="100" w:before="220"/>
      </w:pPr>
      <w:r>
        <w:t xml:space="preserve">Empfohlener Einstieg</w:t>
      </w:r>
    </w:p>
    <w:p>
      <w:pPr>
        <w:pStyle w:val="ListParagraph"/>
        <w:numPr>
          <w:ilvl w:val="0"/>
          <w:numId w:val="2"/>
        </w:numPr>
        <w:spacing w:after="60" w:line="276"/>
      </w:pPr>
      <w:r>
        <w:rPr>
          <w:rFonts w:ascii="Calibri" w:cs="Calibri" w:eastAsia="Calibri" w:hAnsi="Calibri"/>
          <w:sz w:val="21"/>
          <w:szCs w:val="21"/>
        </w:rPr>
        <w:t xml:space="preserve">Carsharing als Einstieg: keine Mitarbeiter vor Ort, Nutzer-Selbstdokumentation, hoher Streit, junge Tech-Teams.</w:t>
      </w:r>
    </w:p>
    <w:p>
      <w:pPr>
        <w:pStyle w:val="ListParagraph"/>
        <w:numPr>
          <w:ilvl w:val="0"/>
          <w:numId w:val="2"/>
        </w:numPr>
        <w:spacing w:after="60" w:line="276"/>
      </w:pPr>
      <w:r>
        <w:rPr>
          <w:rFonts w:ascii="Calibri" w:cs="Calibri" w:eastAsia="Calibri" w:hAnsi="Calibri"/>
          <w:sz w:val="21"/>
          <w:szCs w:val="21"/>
        </w:rPr>
        <w:t xml:space="preserve">Danach Leasingrücknahme über Deutsche Leasing oder VWFS.</w:t>
      </w:r>
    </w:p>
    <w:p>
      <w:pPr>
        <w:pStyle w:val="Heading2"/>
        <w:keepNext/>
        <w:spacing w:after="140" w:before="300"/>
      </w:pPr>
      <w:r>
        <w:t xml:space="preserve">C2 Baumaschinen- und Gerätevermietung</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928"/>
        <w:gridCol w:w="1928"/>
        <w:gridCol w:w="1928"/>
        <w:gridCol w:w="1927"/>
        <w:gridCol w:w="1927"/>
      </w:tblGrid>
      <w:tr>
        <w:trPr>
          <w:cantSplit/>
          <w:tblHeader w:val="false"/>
        </w:trPr>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Volumen</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Schmerz (1–5)</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Wettbewerb</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Nähe zur App</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Priorität</w:t>
            </w:r>
          </w:p>
        </w:tc>
      </w:tr>
      <w:tr>
        <w:trPr>
          <w:cantSplit/>
        </w:trPr>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hoch</w:t>
            </w:r>
          </w:p>
        </w:tc>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4</w:t>
            </w:r>
          </w:p>
        </w:tc>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niedrig</w:t>
            </w:r>
          </w:p>
        </w:tc>
        <w:tc>
          <w:tcPr>
            <w:tcW w:type="dxa" w:w="1927"/>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sehr hoch</w:t>
            </w:r>
          </w:p>
        </w:tc>
        <w:tc>
          <w:tcPr>
            <w:tcW w:type="dxa" w:w="1927"/>
            <w:shd w:fill="D9EAD3"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8"/>
                <w:szCs w:val="18"/>
              </w:rPr>
              <w:t xml:space="preserve">A – sofort angehen</w:t>
            </w:r>
          </w:p>
        </w:tc>
      </w:tr>
    </w:tbl>
    <w:p>
      <w:pPr>
        <w:spacing w:after="100"/>
      </w:pPr>
    </w:p>
    <w:p>
      <w:pPr>
        <w:spacing w:after="100" w:line="276"/>
      </w:pPr>
      <w:r>
        <w:rPr>
          <w:rFonts w:ascii="Calibri" w:cs="Calibri" w:eastAsia="Calibri" w:hAnsi="Calibri"/>
          <w:b/>
          <w:bCs/>
          <w:color w:val="1F3A5F"/>
          <w:sz w:val="21"/>
          <w:szCs w:val="21"/>
        </w:rPr>
        <w:t xml:space="preserve">Bedarf. </w:t>
      </w:r>
      <w:r>
        <w:rPr>
          <w:rFonts w:ascii="Calibri" w:cs="Calibri" w:eastAsia="Calibri" w:hAnsi="Calibri"/>
          <w:sz w:val="21"/>
          <w:szCs w:val="21"/>
        </w:rPr>
        <w:t xml:space="preserve">Bagger, Arbeitsbühnen, Container, Gerüste: Rückgabeschäden werden per Foto abgerechnet, Kunden widersprechen. Vermieter kalkulieren Schadenverluste im Prozentbereich des Umsatzes ein. Übergaben finden auf Baustellen ohne Infrastruktur statt.</w:t>
      </w:r>
    </w:p>
    <w:p>
      <w:pPr>
        <w:spacing w:after="100" w:line="276"/>
      </w:pPr>
      <w:r>
        <w:rPr>
          <w:rFonts w:ascii="Calibri" w:cs="Calibri" w:eastAsia="Calibri" w:hAnsi="Calibri"/>
          <w:b/>
          <w:bCs/>
          <w:color w:val="1F3A5F"/>
          <w:sz w:val="21"/>
          <w:szCs w:val="21"/>
        </w:rPr>
        <w:t xml:space="preserve">Wer bezahlt. </w:t>
      </w:r>
      <w:r>
        <w:rPr>
          <w:rFonts w:ascii="Calibri" w:cs="Calibri" w:eastAsia="Calibri" w:hAnsi="Calibri"/>
          <w:sz w:val="21"/>
          <w:szCs w:val="21"/>
        </w:rPr>
        <w:t xml:space="preserve">Vermietunternehmen, Baumaschinenhändler mit Mietflotte, Bauunternehmen als Mieter.</w:t>
      </w:r>
    </w:p>
    <w:p>
      <w:pPr>
        <w:spacing w:after="100" w:line="276"/>
      </w:pPr>
      <w:r>
        <w:rPr>
          <w:rFonts w:ascii="Calibri" w:cs="Calibri" w:eastAsia="Calibri" w:hAnsi="Calibri"/>
          <w:b/>
          <w:bCs/>
          <w:color w:val="1F3A5F"/>
          <w:sz w:val="21"/>
          <w:szCs w:val="21"/>
        </w:rPr>
        <w:t xml:space="preserve">Auslöser. </w:t>
      </w:r>
      <w:r>
        <w:rPr>
          <w:rFonts w:ascii="Calibri" w:cs="Calibri" w:eastAsia="Calibri" w:hAnsi="Calibri"/>
          <w:sz w:val="21"/>
          <w:szCs w:val="21"/>
        </w:rPr>
        <w:t xml:space="preserve">Wachsender Mietanteil am Baumaschinenmarkt, Schadenquoten, Streit um Reinigungs- und Reparaturpauschalen.</w:t>
      </w:r>
    </w:p>
    <w:p>
      <w:pPr>
        <w:spacing w:after="100" w:line="276"/>
      </w:pPr>
      <w:r>
        <w:rPr>
          <w:rFonts w:ascii="Calibri" w:cs="Calibri" w:eastAsia="Calibri" w:hAnsi="Calibri"/>
          <w:b/>
          <w:bCs/>
          <w:color w:val="1F3A5F"/>
          <w:sz w:val="21"/>
          <w:szCs w:val="21"/>
        </w:rPr>
        <w:t xml:space="preserve">Stand heute / Wettbewerb. </w:t>
      </w:r>
      <w:r>
        <w:rPr>
          <w:rFonts w:ascii="Calibri" w:cs="Calibri" w:eastAsia="Calibri" w:hAnsi="Calibri"/>
          <w:sz w:val="21"/>
          <w:szCs w:val="21"/>
        </w:rPr>
        <w:t xml:space="preserve">Record360 (USA) bedient exakt diesen Fall. In Europa ERP-Module ohne Beweisschicht.</w:t>
      </w:r>
    </w:p>
    <w:p>
      <w:pPr>
        <w:pStyle w:val="Heading3"/>
        <w:keepNext/>
        <w:spacing w:after="100" w:before="220"/>
      </w:pPr>
      <w:r>
        <w:t xml:space="preserve">Potenzielle Kunden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2000"/>
        <w:gridCol w:w="2700"/>
        <w:gridCol w:w="2238"/>
      </w:tblGrid>
      <w:tr>
        <w:trPr>
          <w:cantSplit/>
          <w:tblHeader/>
        </w:trPr>
        <w:tc>
          <w:tcPr>
            <w:tcW w:type="dxa" w:w="27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Organisation</w:t>
            </w:r>
          </w:p>
        </w:tc>
        <w:tc>
          <w:tcPr>
            <w:tcW w:type="dxa" w:w="20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Typ / Sitz</w:t>
            </w:r>
          </w:p>
        </w:tc>
        <w:tc>
          <w:tcPr>
            <w:tcW w:type="dxa" w:w="27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Zielrolle (Ansprechpartner)</w:t>
            </w:r>
          </w:p>
        </w:tc>
        <w:tc>
          <w:tcPr>
            <w:tcW w:type="dxa" w:w="2238"/>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Web / Zugang</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Zeppelin Rental</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Vermieter, Garching</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Leitung Fleet/Schadenmanagement; Digitalisierung</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zeppelin-rental.de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HKL Baumaschinen</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Vermieter, Hamburg</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Mietparkleitung; IT/Digitalisierung</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hkl-baumaschinen.de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Boels Rental Deutschland</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Vermieter, Sittard (NL) / DE-Standorte</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Country Management; Damage Control</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boels.com</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Loxam Deutschland</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Vermieter, bundesweit</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Geschäftsleitung Deutschland</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loxam.de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Kiloutou Deutschland</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Vermieter, bundesweit</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Operations</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kiloutou.de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mateco</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Arbeitsbühnenvermieter, Stuttgart</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Schadenmanagement; Operations</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mateco.de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Beutlhauser</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Händler mit Mietpark, Passau</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Mietpark; Digitalisierung</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beutlhauser.de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bbi Bundesverband Baumaschinen-, Baugeräte- und Industriemaschinen-Firmen</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Verband, Frankfurt</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Geschäftsführung; Fachgruppe Vermietung</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bbi-online.de</w:t>
            </w:r>
          </w:p>
        </w:tc>
      </w:tr>
    </w:tbl>
    <w:p>
      <w:pPr>
        <w:spacing w:after="80"/>
      </w:pPr>
    </w:p>
    <w:p>
      <w:pPr>
        <w:pStyle w:val="Heading3"/>
        <w:keepNext/>
        <w:spacing w:after="100" w:before="220"/>
      </w:pPr>
      <w:r>
        <w:t xml:space="preserve">Multiplikatoren und Zugang</w:t>
      </w:r>
    </w:p>
    <w:p>
      <w:pPr>
        <w:pStyle w:val="ListParagraph"/>
        <w:numPr>
          <w:ilvl w:val="0"/>
          <w:numId w:val="2"/>
        </w:numPr>
        <w:spacing w:after="60" w:line="276"/>
      </w:pPr>
      <w:r>
        <w:rPr>
          <w:rFonts w:ascii="Calibri" w:cs="Calibri" w:eastAsia="Calibri" w:hAnsi="Calibri"/>
          <w:sz w:val="21"/>
          <w:szCs w:val="21"/>
        </w:rPr>
        <w:t xml:space="preserve">bbi-Verband und Messe bauma (München) erreichen alle Vermieter.</w:t>
      </w:r>
    </w:p>
    <w:p>
      <w:pPr>
        <w:pStyle w:val="ListParagraph"/>
        <w:numPr>
          <w:ilvl w:val="0"/>
          <w:numId w:val="2"/>
        </w:numPr>
        <w:spacing w:after="60" w:line="276"/>
      </w:pPr>
      <w:r>
        <w:rPr>
          <w:rFonts w:ascii="Calibri" w:cs="Calibri" w:eastAsia="Calibri" w:hAnsi="Calibri"/>
          <w:sz w:val="21"/>
          <w:szCs w:val="21"/>
        </w:rPr>
        <w:t xml:space="preserve">Maschinenbruch-Versicherer (Allianz, HDI) als Nutznießer.</w:t>
      </w:r>
    </w:p>
    <w:p>
      <w:pPr>
        <w:pStyle w:val="Heading3"/>
        <w:keepNext/>
        <w:spacing w:after="100" w:before="220"/>
      </w:pPr>
      <w:r>
        <w:t xml:space="preserve">Empfohlener Einstieg</w:t>
      </w:r>
    </w:p>
    <w:p>
      <w:pPr>
        <w:pStyle w:val="ListParagraph"/>
        <w:numPr>
          <w:ilvl w:val="0"/>
          <w:numId w:val="2"/>
        </w:numPr>
        <w:spacing w:after="60" w:line="276"/>
      </w:pPr>
      <w:r>
        <w:rPr>
          <w:rFonts w:ascii="Calibri" w:cs="Calibri" w:eastAsia="Calibri" w:hAnsi="Calibri"/>
          <w:sz w:val="21"/>
          <w:szCs w:val="21"/>
        </w:rPr>
        <w:t xml:space="preserve">Regionaler Vermieter (Beutlhauser) als schneller Pilot, Zeppelin als Zielkunde.</w:t>
      </w:r>
    </w:p>
    <w:p>
      <w:pPr>
        <w:pStyle w:val="Heading2"/>
        <w:keepNext/>
        <w:spacing w:after="140" w:before="300"/>
      </w:pPr>
      <w:r>
        <w:t xml:space="preserve">C3 Umzugsunternehmen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928"/>
        <w:gridCol w:w="1928"/>
        <w:gridCol w:w="1928"/>
        <w:gridCol w:w="1927"/>
        <w:gridCol w:w="1927"/>
      </w:tblGrid>
      <w:tr>
        <w:trPr>
          <w:cantSplit/>
          <w:tblHeader w:val="false"/>
        </w:trPr>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Volumen</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Schmerz (1–5)</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Wettbewerb</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Nähe zur App</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Priorität</w:t>
            </w:r>
          </w:p>
        </w:tc>
      </w:tr>
      <w:tr>
        <w:trPr>
          <w:cantSplit/>
        </w:trPr>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hoch</w:t>
            </w:r>
          </w:p>
        </w:tc>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4</w:t>
            </w:r>
          </w:p>
        </w:tc>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niedrig</w:t>
            </w:r>
          </w:p>
        </w:tc>
        <w:tc>
          <w:tcPr>
            <w:tcW w:type="dxa" w:w="1927"/>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hoch</w:t>
            </w:r>
          </w:p>
        </w:tc>
        <w:tc>
          <w:tcPr>
            <w:tcW w:type="dxa" w:w="1927"/>
            <w:shd w:fill="FFF2CC"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8"/>
                <w:szCs w:val="18"/>
              </w:rPr>
              <w:t xml:space="preserve">B – zweite Welle</w:t>
            </w:r>
          </w:p>
        </w:tc>
      </w:tr>
    </w:tbl>
    <w:p>
      <w:pPr>
        <w:spacing w:after="100"/>
      </w:pPr>
    </w:p>
    <w:p>
      <w:pPr>
        <w:spacing w:after="100" w:line="276"/>
      </w:pPr>
      <w:r>
        <w:rPr>
          <w:rFonts w:ascii="Calibri" w:cs="Calibri" w:eastAsia="Calibri" w:hAnsi="Calibri"/>
          <w:b/>
          <w:bCs/>
          <w:color w:val="1F3A5F"/>
          <w:sz w:val="21"/>
          <w:szCs w:val="21"/>
        </w:rPr>
        <w:t xml:space="preserve">Bedarf. </w:t>
      </w:r>
      <w:r>
        <w:rPr>
          <w:rFonts w:ascii="Calibri" w:cs="Calibri" w:eastAsia="Calibri" w:hAnsi="Calibri"/>
          <w:sz w:val="21"/>
          <w:szCs w:val="21"/>
        </w:rPr>
        <w:t xml:space="preserve">Vorschäden an Möbeln und Gebäude (Treppenhaus, Böden) beim Beladen sind der gesamte Streit. Nach dem Umzug behauptet der Kunde neue Schäden, das Unternehmen kann das Gegenteil nicht beweisen. Die Transportversicherung verlangt Dokumentation.</w:t>
      </w:r>
    </w:p>
    <w:p>
      <w:pPr>
        <w:spacing w:after="100" w:line="276"/>
      </w:pPr>
      <w:r>
        <w:rPr>
          <w:rFonts w:ascii="Calibri" w:cs="Calibri" w:eastAsia="Calibri" w:hAnsi="Calibri"/>
          <w:b/>
          <w:bCs/>
          <w:color w:val="1F3A5F"/>
          <w:sz w:val="21"/>
          <w:szCs w:val="21"/>
        </w:rPr>
        <w:t xml:space="preserve">Wer bezahlt. </w:t>
      </w:r>
      <w:r>
        <w:rPr>
          <w:rFonts w:ascii="Calibri" w:cs="Calibri" w:eastAsia="Calibri" w:hAnsi="Calibri"/>
          <w:sz w:val="21"/>
          <w:szCs w:val="21"/>
        </w:rPr>
        <w:t xml:space="preserve">Umzugsspeditionen, Transportversicherer, Umzugsverbünde.</w:t>
      </w:r>
    </w:p>
    <w:p>
      <w:pPr>
        <w:spacing w:after="100" w:line="276"/>
      </w:pPr>
      <w:r>
        <w:rPr>
          <w:rFonts w:ascii="Calibri" w:cs="Calibri" w:eastAsia="Calibri" w:hAnsi="Calibri"/>
          <w:b/>
          <w:bCs/>
          <w:color w:val="1F3A5F"/>
          <w:sz w:val="21"/>
          <w:szCs w:val="21"/>
        </w:rPr>
        <w:t xml:space="preserve">Auslöser. </w:t>
      </w:r>
      <w:r>
        <w:rPr>
          <w:rFonts w:ascii="Calibri" w:cs="Calibri" w:eastAsia="Calibri" w:hAnsi="Calibri"/>
          <w:sz w:val="21"/>
          <w:szCs w:val="21"/>
        </w:rPr>
        <w:t xml:space="preserve">Haftung nach § 451 HGB, Reklamationsquote, Bewertungsdruck auf Portalen.</w:t>
      </w:r>
    </w:p>
    <w:p>
      <w:pPr>
        <w:spacing w:after="100" w:line="276"/>
      </w:pPr>
      <w:r>
        <w:rPr>
          <w:rFonts w:ascii="Calibri" w:cs="Calibri" w:eastAsia="Calibri" w:hAnsi="Calibri"/>
          <w:b/>
          <w:bCs/>
          <w:color w:val="1F3A5F"/>
          <w:sz w:val="21"/>
          <w:szCs w:val="21"/>
        </w:rPr>
        <w:t xml:space="preserve">Stand heute / Wettbewerb. </w:t>
      </w:r>
      <w:r>
        <w:rPr>
          <w:rFonts w:ascii="Calibri" w:cs="Calibri" w:eastAsia="Calibri" w:hAnsi="Calibri"/>
          <w:sz w:val="21"/>
          <w:szCs w:val="21"/>
        </w:rPr>
        <w:t xml:space="preserve">Kaum digitale Lösungen, viele kleine Betriebe. Verbandsstruktur (AMÖ) mit Qualitätssiegel vorhanden.</w:t>
      </w:r>
    </w:p>
    <w:p>
      <w:pPr>
        <w:pStyle w:val="Heading3"/>
        <w:keepNext/>
        <w:spacing w:after="100" w:before="220"/>
      </w:pPr>
      <w:r>
        <w:t xml:space="preserve">Potenzielle Kunden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2000"/>
        <w:gridCol w:w="2700"/>
        <w:gridCol w:w="2238"/>
      </w:tblGrid>
      <w:tr>
        <w:trPr>
          <w:cantSplit/>
          <w:tblHeader/>
        </w:trPr>
        <w:tc>
          <w:tcPr>
            <w:tcW w:type="dxa" w:w="27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Organisation</w:t>
            </w:r>
          </w:p>
        </w:tc>
        <w:tc>
          <w:tcPr>
            <w:tcW w:type="dxa" w:w="20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Typ / Sitz</w:t>
            </w:r>
          </w:p>
        </w:tc>
        <w:tc>
          <w:tcPr>
            <w:tcW w:type="dxa" w:w="27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Zielrolle (Ansprechpartner)</w:t>
            </w:r>
          </w:p>
        </w:tc>
        <w:tc>
          <w:tcPr>
            <w:tcW w:type="dxa" w:w="2238"/>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Web / Zugang</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AMÖ Bundesverband Möbelspedition und Logistik</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Verband, Hattersheim</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Geschäftsführung; Qualitätssiegel 'AMÖ-zertifiziert'</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amoe.de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Zapf Umzüge</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Umzugsunternehmen, Berlin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Geschäftsführung; Qualitätsmanagement</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zapf.de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hasenkamp Group</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Umzug/Kunstlogistik, Frechen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Operations; Schadenmanagement</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hasenkamp.com</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Confern Möbeltransportbetriebe</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Umzugsverbund, bundesweit</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Verbundgeschäftsführung</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confern.de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KRAVAG (R+V)</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Transportversicherer, Hamburg</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Schaden Transport; Firmenkunden Logistik</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kravag.de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Umzugsportale (z. B. umzug.de, Umzugsauktion)</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Vermittler</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Partnermanagement</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umzug.de</w:t>
            </w:r>
          </w:p>
        </w:tc>
      </w:tr>
    </w:tbl>
    <w:p>
      <w:pPr>
        <w:spacing w:after="80"/>
      </w:pPr>
    </w:p>
    <w:p>
      <w:pPr>
        <w:pStyle w:val="Heading3"/>
        <w:keepNext/>
        <w:spacing w:after="100" w:before="220"/>
      </w:pPr>
      <w:r>
        <w:t xml:space="preserve">Multiplikatoren und Zugang</w:t>
      </w:r>
    </w:p>
    <w:p>
      <w:pPr>
        <w:pStyle w:val="ListParagraph"/>
        <w:numPr>
          <w:ilvl w:val="0"/>
          <w:numId w:val="2"/>
        </w:numPr>
        <w:spacing w:after="60" w:line="276"/>
      </w:pPr>
      <w:r>
        <w:rPr>
          <w:rFonts w:ascii="Calibri" w:cs="Calibri" w:eastAsia="Calibri" w:hAnsi="Calibri"/>
          <w:sz w:val="21"/>
          <w:szCs w:val="21"/>
        </w:rPr>
        <w:t xml:space="preserve">AMÖ-Siegel als Standardvorgabe für Mitglieder.</w:t>
      </w:r>
    </w:p>
    <w:p>
      <w:pPr>
        <w:pStyle w:val="ListParagraph"/>
        <w:numPr>
          <w:ilvl w:val="0"/>
          <w:numId w:val="2"/>
        </w:numPr>
        <w:spacing w:after="60" w:line="276"/>
      </w:pPr>
      <w:r>
        <w:rPr>
          <w:rFonts w:ascii="Calibri" w:cs="Calibri" w:eastAsia="Calibri" w:hAnsi="Calibri"/>
          <w:sz w:val="21"/>
          <w:szCs w:val="21"/>
        </w:rPr>
        <w:t xml:space="preserve">KRAVAG als Versicherer nahezu aller Speditionen.</w:t>
      </w:r>
    </w:p>
    <w:p>
      <w:pPr>
        <w:pStyle w:val="Heading3"/>
        <w:keepNext/>
        <w:spacing w:after="100" w:before="220"/>
      </w:pPr>
      <w:r>
        <w:t xml:space="preserve">Empfohlener Einstieg</w:t>
      </w:r>
    </w:p>
    <w:p>
      <w:pPr>
        <w:pStyle w:val="ListParagraph"/>
        <w:numPr>
          <w:ilvl w:val="0"/>
          <w:numId w:val="2"/>
        </w:numPr>
        <w:spacing w:after="60" w:line="276"/>
      </w:pPr>
      <w:r>
        <w:rPr>
          <w:rFonts w:ascii="Calibri" w:cs="Calibri" w:eastAsia="Calibri" w:hAnsi="Calibri"/>
          <w:sz w:val="21"/>
          <w:szCs w:val="21"/>
        </w:rPr>
        <w:t xml:space="preserve">Angebot an AMÖ als Mitgliedervorteil, Preis pro Umzug.</w:t>
      </w:r>
    </w:p>
    <w:p>
      <w:pPr>
        <w:pStyle w:val="Heading2"/>
        <w:keepNext/>
        <w:spacing w:after="140" w:before="300"/>
      </w:pPr>
      <w:r>
        <w:t xml:space="preserve">C4 Yacht-, Boots- und Wohnmobilcharter</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928"/>
        <w:gridCol w:w="1928"/>
        <w:gridCol w:w="1928"/>
        <w:gridCol w:w="1927"/>
        <w:gridCol w:w="1927"/>
      </w:tblGrid>
      <w:tr>
        <w:trPr>
          <w:cantSplit/>
          <w:tblHeader w:val="false"/>
        </w:trPr>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Volumen</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Schmerz (1–5)</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Wettbewerb</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Nähe zur App</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Priorität</w:t>
            </w:r>
          </w:p>
        </w:tc>
      </w:tr>
      <w:tr>
        <w:trPr>
          <w:cantSplit/>
        </w:trPr>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mittel</w:t>
            </w:r>
          </w:p>
        </w:tc>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4</w:t>
            </w:r>
          </w:p>
        </w:tc>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niedrig</w:t>
            </w:r>
          </w:p>
        </w:tc>
        <w:tc>
          <w:tcPr>
            <w:tcW w:type="dxa" w:w="1927"/>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hoch</w:t>
            </w:r>
          </w:p>
        </w:tc>
        <w:tc>
          <w:tcPr>
            <w:tcW w:type="dxa" w:w="1927"/>
            <w:shd w:fill="FFF2CC"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8"/>
                <w:szCs w:val="18"/>
              </w:rPr>
              <w:t xml:space="preserve">B – zweite Welle</w:t>
            </w:r>
          </w:p>
        </w:tc>
      </w:tr>
    </w:tbl>
    <w:p>
      <w:pPr>
        <w:spacing w:after="100"/>
      </w:pPr>
    </w:p>
    <w:p>
      <w:pPr>
        <w:spacing w:after="100" w:line="276"/>
      </w:pPr>
      <w:r>
        <w:rPr>
          <w:rFonts w:ascii="Calibri" w:cs="Calibri" w:eastAsia="Calibri" w:hAnsi="Calibri"/>
          <w:b/>
          <w:bCs/>
          <w:color w:val="1F3A5F"/>
          <w:sz w:val="21"/>
          <w:szCs w:val="21"/>
        </w:rPr>
        <w:t xml:space="preserve">Bedarf. </w:t>
      </w:r>
      <w:r>
        <w:rPr>
          <w:rFonts w:ascii="Calibri" w:cs="Calibri" w:eastAsia="Calibri" w:hAnsi="Calibri"/>
          <w:sz w:val="21"/>
          <w:szCs w:val="21"/>
        </w:rPr>
        <w:t xml:space="preserve">Check-in und Check-out mit Kautionen zwischen 1.000 und 5.000 Euro, Saisongeschäft, Übergabe unter Zeitdruck an Wochenenden. Schäden am Rumpf, Unterwasserschiff, Innenausbau oder Camper-Aufbau werden nach der Rückgabe bestritten.</w:t>
      </w:r>
    </w:p>
    <w:p>
      <w:pPr>
        <w:spacing w:after="100" w:line="276"/>
      </w:pPr>
      <w:r>
        <w:rPr>
          <w:rFonts w:ascii="Calibri" w:cs="Calibri" w:eastAsia="Calibri" w:hAnsi="Calibri"/>
          <w:b/>
          <w:bCs/>
          <w:color w:val="1F3A5F"/>
          <w:sz w:val="21"/>
          <w:szCs w:val="21"/>
        </w:rPr>
        <w:t xml:space="preserve">Wer bezahlt. </w:t>
      </w:r>
      <w:r>
        <w:rPr>
          <w:rFonts w:ascii="Calibri" w:cs="Calibri" w:eastAsia="Calibri" w:hAnsi="Calibri"/>
          <w:sz w:val="21"/>
          <w:szCs w:val="21"/>
        </w:rPr>
        <w:t xml:space="preserve">Charterunternehmen, Vermietplattformen, Bootsversicherer, Wohnmobilvermieter.</w:t>
      </w:r>
    </w:p>
    <w:p>
      <w:pPr>
        <w:spacing w:after="100" w:line="276"/>
      </w:pPr>
      <w:r>
        <w:rPr>
          <w:rFonts w:ascii="Calibri" w:cs="Calibri" w:eastAsia="Calibri" w:hAnsi="Calibri"/>
          <w:b/>
          <w:bCs/>
          <w:color w:val="1F3A5F"/>
          <w:sz w:val="21"/>
          <w:szCs w:val="21"/>
        </w:rPr>
        <w:t xml:space="preserve">Auslöser. </w:t>
      </w:r>
      <w:r>
        <w:rPr>
          <w:rFonts w:ascii="Calibri" w:cs="Calibri" w:eastAsia="Calibri" w:hAnsi="Calibri"/>
          <w:sz w:val="21"/>
          <w:szCs w:val="21"/>
        </w:rPr>
        <w:t xml:space="preserve">Kautionsstreit, Plattformwachstum (Peer-to-Peer-Vermietung), Versichererforderungen.</w:t>
      </w:r>
    </w:p>
    <w:p>
      <w:pPr>
        <w:spacing w:after="100" w:line="276"/>
      </w:pPr>
      <w:r>
        <w:rPr>
          <w:rFonts w:ascii="Calibri" w:cs="Calibri" w:eastAsia="Calibri" w:hAnsi="Calibri"/>
          <w:b/>
          <w:bCs/>
          <w:color w:val="1F3A5F"/>
          <w:sz w:val="21"/>
          <w:szCs w:val="21"/>
        </w:rPr>
        <w:t xml:space="preserve">Stand heute / Wettbewerb. </w:t>
      </w:r>
      <w:r>
        <w:rPr>
          <w:rFonts w:ascii="Calibri" w:cs="Calibri" w:eastAsia="Calibri" w:hAnsi="Calibri"/>
          <w:sz w:val="21"/>
          <w:szCs w:val="21"/>
        </w:rPr>
        <w:t xml:space="preserve">Papierprotokolle, teilweise Plattform-Fotoupload ohne Beweiswert.</w:t>
      </w:r>
    </w:p>
    <w:p>
      <w:pPr>
        <w:pStyle w:val="Heading3"/>
        <w:keepNext/>
        <w:spacing w:after="100" w:before="220"/>
      </w:pPr>
      <w:r>
        <w:t xml:space="preserve">Potenzielle Kunden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2000"/>
        <w:gridCol w:w="2700"/>
        <w:gridCol w:w="2238"/>
      </w:tblGrid>
      <w:tr>
        <w:trPr>
          <w:cantSplit/>
          <w:tblHeader/>
        </w:trPr>
        <w:tc>
          <w:tcPr>
            <w:tcW w:type="dxa" w:w="27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Organisation</w:t>
            </w:r>
          </w:p>
        </w:tc>
        <w:tc>
          <w:tcPr>
            <w:tcW w:type="dxa" w:w="20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Typ / Sitz</w:t>
            </w:r>
          </w:p>
        </w:tc>
        <w:tc>
          <w:tcPr>
            <w:tcW w:type="dxa" w:w="27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Zielrolle (Ansprechpartner)</w:t>
            </w:r>
          </w:p>
        </w:tc>
        <w:tc>
          <w:tcPr>
            <w:tcW w:type="dxa" w:w="2238"/>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Web / Zugang</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McRent (Erwin Hymer Group)</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Wohnmobilvermieter, Isny</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Stationsmanagement; Schaden</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mcrent.de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roadsurfer</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Wohnmobilvermieter, München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Operations; Product</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roadsurfer.com</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PaulCamper</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P2P-Plattform Wohnmobile, Berlin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Trust &amp; Safety; Product</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paulcamper.de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Yescapa</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P2P-Plattform Wohnmobile, Bordeaux/DE</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Country Management DE</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yescapa.de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CIVD Caravaning Industrie Verband</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Verband, Frankfurt</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Arbeitskreis Vermietung</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civd.de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Master Yachting</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Yachtcharter-Vermittler, Würzburg</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Geschäftsführung</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master-yachting.de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Scansail Yachts</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Yachtcharter, Hamburg</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Geschäftsführung; Basisleitung</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scansail.de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Pantaenius</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Yachtversicherer, Hamburg</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Schaden; Charterversicherung</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pantaenius.com</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Schomacker Versicherungsmakler</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Yachtversicherungsmakler, Hamburg</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Geschäftsführung</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schomacker.de</w:t>
            </w:r>
          </w:p>
        </w:tc>
      </w:tr>
    </w:tbl>
    <w:p>
      <w:pPr>
        <w:spacing w:after="80"/>
      </w:pPr>
    </w:p>
    <w:p>
      <w:pPr>
        <w:pStyle w:val="Heading3"/>
        <w:keepNext/>
        <w:spacing w:after="100" w:before="220"/>
      </w:pPr>
      <w:r>
        <w:t xml:space="preserve">Multiplikatoren und Zugang</w:t>
      </w:r>
    </w:p>
    <w:p>
      <w:pPr>
        <w:pStyle w:val="ListParagraph"/>
        <w:numPr>
          <w:ilvl w:val="0"/>
          <w:numId w:val="2"/>
        </w:numPr>
        <w:spacing w:after="60" w:line="276"/>
      </w:pPr>
      <w:r>
        <w:rPr>
          <w:rFonts w:ascii="Calibri" w:cs="Calibri" w:eastAsia="Calibri" w:hAnsi="Calibri"/>
          <w:sz w:val="21"/>
          <w:szCs w:val="21"/>
        </w:rPr>
        <w:t xml:space="preserve">Pantaenius als marktführender Yachtversicherer setzt Standards für Charterbasen.</w:t>
      </w:r>
    </w:p>
    <w:p>
      <w:pPr>
        <w:pStyle w:val="ListParagraph"/>
        <w:numPr>
          <w:ilvl w:val="0"/>
          <w:numId w:val="2"/>
        </w:numPr>
        <w:spacing w:after="60" w:line="276"/>
      </w:pPr>
      <w:r>
        <w:rPr>
          <w:rFonts w:ascii="Calibri" w:cs="Calibri" w:eastAsia="Calibri" w:hAnsi="Calibri"/>
          <w:sz w:val="21"/>
          <w:szCs w:val="21"/>
        </w:rPr>
        <w:t xml:space="preserve">Messen: boot Düsseldorf, Caravan Salon Düsseldorf.</w:t>
      </w:r>
    </w:p>
    <w:p>
      <w:pPr>
        <w:pStyle w:val="Heading3"/>
        <w:keepNext/>
        <w:spacing w:after="100" w:before="220"/>
      </w:pPr>
      <w:r>
        <w:t xml:space="preserve">Empfohlener Einstieg</w:t>
      </w:r>
    </w:p>
    <w:p>
      <w:pPr>
        <w:pStyle w:val="ListParagraph"/>
        <w:numPr>
          <w:ilvl w:val="0"/>
          <w:numId w:val="2"/>
        </w:numPr>
        <w:spacing w:after="60" w:line="276"/>
      </w:pPr>
      <w:r>
        <w:rPr>
          <w:rFonts w:ascii="Calibri" w:cs="Calibri" w:eastAsia="Calibri" w:hAnsi="Calibri"/>
          <w:sz w:val="21"/>
          <w:szCs w:val="21"/>
        </w:rPr>
        <w:t xml:space="preserve">Wohnmobil zuerst (deutsche Anbieter, hohe Stückzahl), Yacht über Pantaenius-Partnerschaft.</w:t>
      </w:r>
    </w:p>
    <w:p>
      <w:pPr>
        <w:pStyle w:val="Heading2"/>
        <w:keepNext/>
        <w:spacing w:after="140" w:before="300"/>
      </w:pPr>
      <w:r>
        <w:t xml:space="preserve">C5 Ferienwohnungen und Kurzzeitvermietung</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928"/>
        <w:gridCol w:w="1928"/>
        <w:gridCol w:w="1928"/>
        <w:gridCol w:w="1927"/>
        <w:gridCol w:w="1927"/>
      </w:tblGrid>
      <w:tr>
        <w:trPr>
          <w:cantSplit/>
          <w:tblHeader w:val="false"/>
        </w:trPr>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Volumen</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Schmerz (1–5)</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Wettbewerb</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Nähe zur App</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Priorität</w:t>
            </w:r>
          </w:p>
        </w:tc>
      </w:tr>
      <w:tr>
        <w:trPr>
          <w:cantSplit/>
        </w:trPr>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hoch</w:t>
            </w:r>
          </w:p>
        </w:tc>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3</w:t>
            </w:r>
          </w:p>
        </w:tc>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niedrig</w:t>
            </w:r>
          </w:p>
        </w:tc>
        <w:tc>
          <w:tcPr>
            <w:tcW w:type="dxa" w:w="1927"/>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hoch</w:t>
            </w:r>
          </w:p>
        </w:tc>
        <w:tc>
          <w:tcPr>
            <w:tcW w:type="dxa" w:w="1927"/>
            <w:shd w:fill="FFF2CC"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8"/>
                <w:szCs w:val="18"/>
              </w:rPr>
              <w:t xml:space="preserve">B – zweite Welle</w:t>
            </w:r>
          </w:p>
        </w:tc>
      </w:tr>
    </w:tbl>
    <w:p>
      <w:pPr>
        <w:spacing w:after="100"/>
      </w:pPr>
    </w:p>
    <w:p>
      <w:pPr>
        <w:spacing w:after="100" w:line="276"/>
      </w:pPr>
      <w:r>
        <w:rPr>
          <w:rFonts w:ascii="Calibri" w:cs="Calibri" w:eastAsia="Calibri" w:hAnsi="Calibri"/>
          <w:b/>
          <w:bCs/>
          <w:color w:val="1F3A5F"/>
          <w:sz w:val="21"/>
          <w:szCs w:val="21"/>
        </w:rPr>
        <w:t xml:space="preserve">Bedarf. </w:t>
      </w:r>
      <w:r>
        <w:rPr>
          <w:rFonts w:ascii="Calibri" w:cs="Calibri" w:eastAsia="Calibri" w:hAnsi="Calibri"/>
          <w:sz w:val="21"/>
          <w:szCs w:val="21"/>
        </w:rPr>
        <w:t xml:space="preserve">Gastgeber melden Schäden an Plattformen und scheitern am Beweis (Zustand vor Anreise). Gäste werden zu Unrecht belastet. Professionelle Verwalter mit hunderten Objekten brauchen dokumentierte Reinigungs- und Übergabeprozesse.</w:t>
      </w:r>
    </w:p>
    <w:p>
      <w:pPr>
        <w:spacing w:after="100" w:line="276"/>
      </w:pPr>
      <w:r>
        <w:rPr>
          <w:rFonts w:ascii="Calibri" w:cs="Calibri" w:eastAsia="Calibri" w:hAnsi="Calibri"/>
          <w:b/>
          <w:bCs/>
          <w:color w:val="1F3A5F"/>
          <w:sz w:val="21"/>
          <w:szCs w:val="21"/>
        </w:rPr>
        <w:t xml:space="preserve">Wer bezahlt. </w:t>
      </w:r>
      <w:r>
        <w:rPr>
          <w:rFonts w:ascii="Calibri" w:cs="Calibri" w:eastAsia="Calibri" w:hAnsi="Calibri"/>
          <w:sz w:val="21"/>
          <w:szCs w:val="21"/>
        </w:rPr>
        <w:t xml:space="preserve">Ferienhausverwalter, Plattformen, Gastgeber, Reinigungsdienstleister.</w:t>
      </w:r>
    </w:p>
    <w:p>
      <w:pPr>
        <w:spacing w:after="100" w:line="276"/>
      </w:pPr>
      <w:r>
        <w:rPr>
          <w:rFonts w:ascii="Calibri" w:cs="Calibri" w:eastAsia="Calibri" w:hAnsi="Calibri"/>
          <w:b/>
          <w:bCs/>
          <w:color w:val="1F3A5F"/>
          <w:sz w:val="21"/>
          <w:szCs w:val="21"/>
        </w:rPr>
        <w:t xml:space="preserve">Auslöser. </w:t>
      </w:r>
      <w:r>
        <w:rPr>
          <w:rFonts w:ascii="Calibri" w:cs="Calibri" w:eastAsia="Calibri" w:hAnsi="Calibri"/>
          <w:sz w:val="21"/>
          <w:szCs w:val="21"/>
        </w:rPr>
        <w:t xml:space="preserve">Plattform-Schadensprogramme (z. B. AirCover), Streitfälle, Professionalisierung der Verwalter.</w:t>
      </w:r>
    </w:p>
    <w:p>
      <w:pPr>
        <w:spacing w:after="100" w:line="276"/>
      </w:pPr>
      <w:r>
        <w:rPr>
          <w:rFonts w:ascii="Calibri" w:cs="Calibri" w:eastAsia="Calibri" w:hAnsi="Calibri"/>
          <w:b/>
          <w:bCs/>
          <w:color w:val="1F3A5F"/>
          <w:sz w:val="21"/>
          <w:szCs w:val="21"/>
        </w:rPr>
        <w:t xml:space="preserve">Stand heute / Wettbewerb. </w:t>
      </w:r>
      <w:r>
        <w:rPr>
          <w:rFonts w:ascii="Calibri" w:cs="Calibri" w:eastAsia="Calibri" w:hAnsi="Calibri"/>
          <w:sz w:val="21"/>
          <w:szCs w:val="21"/>
        </w:rPr>
        <w:t xml:space="preserve">Checklisten-Apps für Reinigung existieren, keine mit Beweisschicht.</w:t>
      </w:r>
    </w:p>
    <w:p>
      <w:pPr>
        <w:pStyle w:val="Heading3"/>
        <w:keepNext/>
        <w:spacing w:after="100" w:before="220"/>
      </w:pPr>
      <w:r>
        <w:t xml:space="preserve">Potenzielle Kunden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2000"/>
        <w:gridCol w:w="2700"/>
        <w:gridCol w:w="2238"/>
      </w:tblGrid>
      <w:tr>
        <w:trPr>
          <w:cantSplit/>
          <w:tblHeader/>
        </w:trPr>
        <w:tc>
          <w:tcPr>
            <w:tcW w:type="dxa" w:w="27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Organisation</w:t>
            </w:r>
          </w:p>
        </w:tc>
        <w:tc>
          <w:tcPr>
            <w:tcW w:type="dxa" w:w="20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Typ / Sitz</w:t>
            </w:r>
          </w:p>
        </w:tc>
        <w:tc>
          <w:tcPr>
            <w:tcW w:type="dxa" w:w="27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Zielrolle (Ansprechpartner)</w:t>
            </w:r>
          </w:p>
        </w:tc>
        <w:tc>
          <w:tcPr>
            <w:tcW w:type="dxa" w:w="2238"/>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Web / Zugang</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Airbnb Germany</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Plattform, Berlin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Trust &amp; Safety; Host Operations</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airbnb.de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Holidu / Bookiply</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Plattform und Verwaltungsservice, München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Bookiply Operations; Product</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holidu.de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Novasol (Awaze)</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Ferienhausanbieter, Hamburg</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Qualitätsmanagement; Objektbetreuung</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novasol.de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Traum-Ferienwohnungen</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Portal, Bremen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Produktmanagement</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traum-ferienwohnungen.de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FeWo-direkt (Vrbo)</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Portal, DE-Büro</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Partner Success</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fewo-direkt.de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Deutscher Ferienhausverband</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Verband, Berlin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Geschäftsführung</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deutscher-ferienhausverband.de</w:t>
            </w:r>
          </w:p>
        </w:tc>
      </w:tr>
    </w:tbl>
    <w:p>
      <w:pPr>
        <w:spacing w:after="80"/>
      </w:pPr>
    </w:p>
    <w:p>
      <w:pPr>
        <w:pStyle w:val="Heading3"/>
        <w:keepNext/>
        <w:spacing w:after="100" w:before="220"/>
      </w:pPr>
      <w:r>
        <w:t xml:space="preserve">Multiplikatoren und Zugang</w:t>
      </w:r>
    </w:p>
    <w:p>
      <w:pPr>
        <w:pStyle w:val="ListParagraph"/>
        <w:numPr>
          <w:ilvl w:val="0"/>
          <w:numId w:val="2"/>
        </w:numPr>
        <w:spacing w:after="60" w:line="276"/>
      </w:pPr>
      <w:r>
        <w:rPr>
          <w:rFonts w:ascii="Calibri" w:cs="Calibri" w:eastAsia="Calibri" w:hAnsi="Calibri"/>
          <w:sz w:val="21"/>
          <w:szCs w:val="21"/>
        </w:rPr>
        <w:t xml:space="preserve">Ferienhausverband für Verwalter und Gastgeber.</w:t>
      </w:r>
    </w:p>
    <w:p>
      <w:pPr>
        <w:pStyle w:val="ListParagraph"/>
        <w:numPr>
          <w:ilvl w:val="0"/>
          <w:numId w:val="2"/>
        </w:numPr>
        <w:spacing w:after="60" w:line="276"/>
      </w:pPr>
      <w:r>
        <w:rPr>
          <w:rFonts w:ascii="Calibri" w:cs="Calibri" w:eastAsia="Calibri" w:hAnsi="Calibri"/>
          <w:sz w:val="21"/>
          <w:szCs w:val="21"/>
        </w:rPr>
        <w:t xml:space="preserve">Plattformen könnten Beweisfotos für Schadensprogramme vorschreiben.</w:t>
      </w:r>
    </w:p>
    <w:p>
      <w:pPr>
        <w:pStyle w:val="Heading3"/>
        <w:keepNext/>
        <w:spacing w:after="100" w:before="220"/>
      </w:pPr>
      <w:r>
        <w:t xml:space="preserve">Empfohlener Einstieg</w:t>
      </w:r>
    </w:p>
    <w:p>
      <w:pPr>
        <w:pStyle w:val="ListParagraph"/>
        <w:numPr>
          <w:ilvl w:val="0"/>
          <w:numId w:val="2"/>
        </w:numPr>
        <w:spacing w:after="60" w:line="276"/>
      </w:pPr>
      <w:r>
        <w:rPr>
          <w:rFonts w:ascii="Calibri" w:cs="Calibri" w:eastAsia="Calibri" w:hAnsi="Calibri"/>
          <w:sz w:val="21"/>
          <w:szCs w:val="21"/>
        </w:rPr>
        <w:t xml:space="preserve">Professionelle Verwalter (Bookiply, Novasol) mit vielen Objekten und eigenen Reinigungsteams.</w:t>
      </w:r>
    </w:p>
    <w:p>
      <w:r>
        <w:br w:type="page"/>
      </w:r>
    </w:p>
    <w:p>
      <w:pPr>
        <w:pStyle w:val="Heading1"/>
        <w:keepNext/>
        <w:spacing w:after="200" w:before="360"/>
      </w:pPr>
      <w:r>
        <w:t xml:space="preserve">7. Logistik, Handel und Zahlungsverkehr (Feld D)</w:t>
      </w:r>
    </w:p>
    <w:p>
      <w:pPr>
        <w:spacing w:after="120" w:before="0" w:line="276"/>
      </w:pPr>
      <w:r>
        <w:rPr>
          <w:rFonts w:ascii="Calibri" w:cs="Calibri" w:eastAsia="Calibri" w:hAnsi="Calibri"/>
          <w:sz w:val="21"/>
          <w:szCs w:val="21"/>
        </w:rPr>
        <w:t xml:space="preserve">Hier löst das Foto direkt eine Zahlung aus: Zustellnachweis, Transportschaden, Retoure, Chargeback. Die Volumina sind enorm und die Gegenseite hat einen klaren Anreiz zur Manipulation.</w:t>
      </w:r>
    </w:p>
    <w:p>
      <w:pPr>
        <w:pStyle w:val="Heading2"/>
        <w:keepNext/>
        <w:spacing w:after="140" w:before="300"/>
      </w:pPr>
      <w:r>
        <w:t xml:space="preserve">D1 Logistik: Zustellnachweis und Transportschäden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928"/>
        <w:gridCol w:w="1928"/>
        <w:gridCol w:w="1928"/>
        <w:gridCol w:w="1927"/>
        <w:gridCol w:w="1927"/>
      </w:tblGrid>
      <w:tr>
        <w:trPr>
          <w:cantSplit/>
          <w:tblHeader w:val="false"/>
        </w:trPr>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Volumen</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Schmerz (1–5)</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Wettbewerb</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Nähe zur App</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Priorität</w:t>
            </w:r>
          </w:p>
        </w:tc>
      </w:tr>
      <w:tr>
        <w:trPr>
          <w:cantSplit/>
        </w:trPr>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sehr hoch</w:t>
            </w:r>
          </w:p>
        </w:tc>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3</w:t>
            </w:r>
          </w:p>
        </w:tc>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mittel</w:t>
            </w:r>
          </w:p>
        </w:tc>
        <w:tc>
          <w:tcPr>
            <w:tcW w:type="dxa" w:w="1927"/>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mittel</w:t>
            </w:r>
          </w:p>
        </w:tc>
        <w:tc>
          <w:tcPr>
            <w:tcW w:type="dxa" w:w="1927"/>
            <w:shd w:fill="FFF2CC"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8"/>
                <w:szCs w:val="18"/>
              </w:rPr>
              <w:t xml:space="preserve">B – zweite Welle</w:t>
            </w:r>
          </w:p>
        </w:tc>
      </w:tr>
    </w:tbl>
    <w:p>
      <w:pPr>
        <w:spacing w:after="100"/>
      </w:pPr>
    </w:p>
    <w:p>
      <w:pPr>
        <w:spacing w:after="100" w:line="276"/>
      </w:pPr>
      <w:r>
        <w:rPr>
          <w:rFonts w:ascii="Calibri" w:cs="Calibri" w:eastAsia="Calibri" w:hAnsi="Calibri"/>
          <w:b/>
          <w:bCs/>
          <w:color w:val="1F3A5F"/>
          <w:sz w:val="21"/>
          <w:szCs w:val="21"/>
        </w:rPr>
        <w:t xml:space="preserve">Bedarf. </w:t>
      </w:r>
      <w:r>
        <w:rPr>
          <w:rFonts w:ascii="Calibri" w:cs="Calibri" w:eastAsia="Calibri" w:hAnsi="Calibri"/>
          <w:sz w:val="21"/>
          <w:szCs w:val="21"/>
        </w:rPr>
        <w:t xml:space="preserve">Ablieferfotos ersetzen Unterschriften. Frachtschäden werden fast nur per Foto reguliert (Ablieferung, Verpackung, Palette). Zoll und Versicherer verlangen belastbare Dokumentation. Streit zwischen Versender, Spediteur und Empfänger dreht sich um den Zeitpunkt des Schadens.</w:t>
      </w:r>
    </w:p>
    <w:p>
      <w:pPr>
        <w:spacing w:after="100" w:line="276"/>
      </w:pPr>
      <w:r>
        <w:rPr>
          <w:rFonts w:ascii="Calibri" w:cs="Calibri" w:eastAsia="Calibri" w:hAnsi="Calibri"/>
          <w:b/>
          <w:bCs/>
          <w:color w:val="1F3A5F"/>
          <w:sz w:val="21"/>
          <w:szCs w:val="21"/>
        </w:rPr>
        <w:t xml:space="preserve">Wer bezahlt. </w:t>
      </w:r>
      <w:r>
        <w:rPr>
          <w:rFonts w:ascii="Calibri" w:cs="Calibri" w:eastAsia="Calibri" w:hAnsi="Calibri"/>
          <w:sz w:val="21"/>
          <w:szCs w:val="21"/>
        </w:rPr>
        <w:t xml:space="preserve">Paketdienste, Speditionen, Kontraktlogistiker, Transportversicherer, Versender.</w:t>
      </w:r>
    </w:p>
    <w:p>
      <w:pPr>
        <w:spacing w:after="100" w:line="276"/>
      </w:pPr>
      <w:r>
        <w:rPr>
          <w:rFonts w:ascii="Calibri" w:cs="Calibri" w:eastAsia="Calibri" w:hAnsi="Calibri"/>
          <w:b/>
          <w:bCs/>
          <w:color w:val="1F3A5F"/>
          <w:sz w:val="21"/>
          <w:szCs w:val="21"/>
        </w:rPr>
        <w:t xml:space="preserve">Auslöser. </w:t>
      </w:r>
      <w:r>
        <w:rPr>
          <w:rFonts w:ascii="Calibri" w:cs="Calibri" w:eastAsia="Calibri" w:hAnsi="Calibri"/>
          <w:sz w:val="21"/>
          <w:szCs w:val="21"/>
        </w:rPr>
        <w:t xml:space="preserve">Haftungsketten nach HGB/CMR, Schadenquoten, Kundenerwartung an Transparenz.</w:t>
      </w:r>
    </w:p>
    <w:p>
      <w:pPr>
        <w:spacing w:after="100" w:line="276"/>
      </w:pPr>
      <w:r>
        <w:rPr>
          <w:rFonts w:ascii="Calibri" w:cs="Calibri" w:eastAsia="Calibri" w:hAnsi="Calibri"/>
          <w:b/>
          <w:bCs/>
          <w:color w:val="1F3A5F"/>
          <w:sz w:val="21"/>
          <w:szCs w:val="21"/>
        </w:rPr>
        <w:t xml:space="preserve">Stand heute / Wettbewerb. </w:t>
      </w:r>
      <w:r>
        <w:rPr>
          <w:rFonts w:ascii="Calibri" w:cs="Calibri" w:eastAsia="Calibri" w:hAnsi="Calibri"/>
          <w:sz w:val="21"/>
          <w:szCs w:val="21"/>
        </w:rPr>
        <w:t xml:space="preserve">Scanner-Apps der Paketdienste machen Fotos, aber ohne kryptografische Sicherung. Transportversicherer akzeptieren fast alles, weil Alternativen fehlen.</w:t>
      </w:r>
    </w:p>
    <w:p>
      <w:pPr>
        <w:pStyle w:val="Heading3"/>
        <w:keepNext/>
        <w:spacing w:after="100" w:before="220"/>
      </w:pPr>
      <w:r>
        <w:t xml:space="preserve">Potenzielle Kunden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2000"/>
        <w:gridCol w:w="2700"/>
        <w:gridCol w:w="2238"/>
      </w:tblGrid>
      <w:tr>
        <w:trPr>
          <w:cantSplit/>
          <w:tblHeader/>
        </w:trPr>
        <w:tc>
          <w:tcPr>
            <w:tcW w:type="dxa" w:w="27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Organisation</w:t>
            </w:r>
          </w:p>
        </w:tc>
        <w:tc>
          <w:tcPr>
            <w:tcW w:type="dxa" w:w="20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Typ / Sitz</w:t>
            </w:r>
          </w:p>
        </w:tc>
        <w:tc>
          <w:tcPr>
            <w:tcW w:type="dxa" w:w="27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Zielrolle (Ansprechpartner)</w:t>
            </w:r>
          </w:p>
        </w:tc>
        <w:tc>
          <w:tcPr>
            <w:tcW w:type="dxa" w:w="2238"/>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Web / Zugang</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DHL Group</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Paket/Logistik, Bonn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Operations Excellence; Schadenmanagement Paket</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dhl.com</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DSV (ehem. DB Schenker)</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Spedition, Essen/Hedehusene</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Claims Management Germany</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dsv.com</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Dachser</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Spedition, Kempten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Schadenmanagement; Corporate IT</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dachser.de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Kühne+Nagel Deutschland</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Spedition, Hamburg</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Claims; Digital Products</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kuehne-nagel.com</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Hermes Germany</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Paketdienst, Hamburg</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Operations; Schadenmanagement</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hermesworld.com</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GLS Germany</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Paketdienst, Neuenstein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Qualitätsmanagement</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gls-group.com</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DPD Deutschland</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Paketdienst, Aschaffenburg</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Qualität/Schaden</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dpd.de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Rhenus Logistics</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Logistik, Holzwickede</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Claims; Innovation</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rhenus.com</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Fiege Logistik</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Kontraktlogistik, Greven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Qualitätsmanagement; Fiege Innovation</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fiege.com</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KRAVAG (R+V)</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Transportversicherer, Hamburg</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Schaden Transport</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kravag.de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BGL Bundesverband Güterkraftverkehr Logistik und Entsorgung</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Verband, Frankfurt</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Geschäftsführung</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bgl-ev.de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DSLV Bundesverband Spedition und Logistik</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Verband, Berlin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Fachbereich Recht/Versicherung</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dslv.org</w:t>
            </w:r>
          </w:p>
        </w:tc>
      </w:tr>
    </w:tbl>
    <w:p>
      <w:pPr>
        <w:spacing w:after="80"/>
      </w:pPr>
    </w:p>
    <w:p>
      <w:pPr>
        <w:pStyle w:val="Heading3"/>
        <w:keepNext/>
        <w:spacing w:after="100" w:before="220"/>
      </w:pPr>
      <w:r>
        <w:t xml:space="preserve">Multiplikatoren und Zugang</w:t>
      </w:r>
    </w:p>
    <w:p>
      <w:pPr>
        <w:pStyle w:val="ListParagraph"/>
        <w:numPr>
          <w:ilvl w:val="0"/>
          <w:numId w:val="2"/>
        </w:numPr>
        <w:spacing w:after="60" w:line="276"/>
      </w:pPr>
      <w:r>
        <w:rPr>
          <w:rFonts w:ascii="Calibri" w:cs="Calibri" w:eastAsia="Calibri" w:hAnsi="Calibri"/>
          <w:sz w:val="21"/>
          <w:szCs w:val="21"/>
        </w:rPr>
        <w:t xml:space="preserve">Transportversicherer (KRAVAG, Allianz Commercial, HDI) als Vorschreibende.</w:t>
      </w:r>
    </w:p>
    <w:p>
      <w:pPr>
        <w:pStyle w:val="ListParagraph"/>
        <w:numPr>
          <w:ilvl w:val="0"/>
          <w:numId w:val="2"/>
        </w:numPr>
        <w:spacing w:after="60" w:line="276"/>
      </w:pPr>
      <w:r>
        <w:rPr>
          <w:rFonts w:ascii="Calibri" w:cs="Calibri" w:eastAsia="Calibri" w:hAnsi="Calibri"/>
          <w:sz w:val="21"/>
          <w:szCs w:val="21"/>
        </w:rPr>
        <w:t xml:space="preserve">Messen: LogiMAT Stuttgart, transport logistic München.</w:t>
      </w:r>
    </w:p>
    <w:p>
      <w:pPr>
        <w:pStyle w:val="Heading3"/>
        <w:keepNext/>
        <w:spacing w:after="100" w:before="220"/>
      </w:pPr>
      <w:r>
        <w:t xml:space="preserve">Empfohlener Einstieg</w:t>
      </w:r>
    </w:p>
    <w:p>
      <w:pPr>
        <w:pStyle w:val="ListParagraph"/>
        <w:numPr>
          <w:ilvl w:val="0"/>
          <w:numId w:val="2"/>
        </w:numPr>
        <w:spacing w:after="60" w:line="276"/>
      </w:pPr>
      <w:r>
        <w:rPr>
          <w:rFonts w:ascii="Calibri" w:cs="Calibri" w:eastAsia="Calibri" w:hAnsi="Calibri"/>
          <w:sz w:val="21"/>
          <w:szCs w:val="21"/>
        </w:rPr>
        <w:t xml:space="preserve">Nischeneinstieg über Schwerlast- und Möbellogistik (hohe Einzelschäden), nicht über Paketvolumen.</w:t>
      </w:r>
    </w:p>
    <w:p>
      <w:pPr>
        <w:pStyle w:val="Heading2"/>
        <w:keepNext/>
        <w:spacing w:after="140" w:before="300"/>
      </w:pPr>
      <w:r>
        <w:t xml:space="preserve">D2 Retourenbetrug und Re-Commerce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928"/>
        <w:gridCol w:w="1928"/>
        <w:gridCol w:w="1928"/>
        <w:gridCol w:w="1927"/>
        <w:gridCol w:w="1927"/>
      </w:tblGrid>
      <w:tr>
        <w:trPr>
          <w:cantSplit/>
          <w:tblHeader w:val="false"/>
        </w:trPr>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Volumen</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Schmerz (1–5)</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Wettbewerb</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Nähe zur App</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Priorität</w:t>
            </w:r>
          </w:p>
        </w:tc>
      </w:tr>
      <w:tr>
        <w:trPr>
          <w:cantSplit/>
        </w:trPr>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sehr hoch</w:t>
            </w:r>
          </w:p>
        </w:tc>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5</w:t>
            </w:r>
          </w:p>
        </w:tc>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niedrig</w:t>
            </w:r>
          </w:p>
        </w:tc>
        <w:tc>
          <w:tcPr>
            <w:tcW w:type="dxa" w:w="1927"/>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mittel</w:t>
            </w:r>
          </w:p>
        </w:tc>
        <w:tc>
          <w:tcPr>
            <w:tcW w:type="dxa" w:w="1927"/>
            <w:shd w:fill="D9EAD3"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8"/>
                <w:szCs w:val="18"/>
              </w:rPr>
              <w:t xml:space="preserve">A – sofort angehen</w:t>
            </w:r>
          </w:p>
        </w:tc>
      </w:tr>
    </w:tbl>
    <w:p>
      <w:pPr>
        <w:spacing w:after="100"/>
      </w:pPr>
    </w:p>
    <w:p>
      <w:pPr>
        <w:spacing w:after="100" w:line="276"/>
      </w:pPr>
      <w:r>
        <w:rPr>
          <w:rFonts w:ascii="Calibri" w:cs="Calibri" w:eastAsia="Calibri" w:hAnsi="Calibri"/>
          <w:b/>
          <w:bCs/>
          <w:color w:val="1F3A5F"/>
          <w:sz w:val="21"/>
          <w:szCs w:val="21"/>
        </w:rPr>
        <w:t xml:space="preserve">Bedarf. </w:t>
      </w:r>
      <w:r>
        <w:rPr>
          <w:rFonts w:ascii="Calibri" w:cs="Calibri" w:eastAsia="Calibri" w:hAnsi="Calibri"/>
          <w:sz w:val="21"/>
          <w:szCs w:val="21"/>
        </w:rPr>
        <w:t xml:space="preserve">Händler brauchen Beweise, was beim Packen im Paket war und was in der Retoure zurückkam (leere Kartons, getauschte Ware, getragene Kleidung). Re-Commerce-Anbieter streiten mit Einsendern über den Zustand. Betrugsringe nutzen die Beweislücke systematisch.</w:t>
      </w:r>
    </w:p>
    <w:p>
      <w:pPr>
        <w:spacing w:after="100" w:line="276"/>
      </w:pPr>
      <w:r>
        <w:rPr>
          <w:rFonts w:ascii="Calibri" w:cs="Calibri" w:eastAsia="Calibri" w:hAnsi="Calibri"/>
          <w:b/>
          <w:bCs/>
          <w:color w:val="1F3A5F"/>
          <w:sz w:val="21"/>
          <w:szCs w:val="21"/>
        </w:rPr>
        <w:t xml:space="preserve">Wer bezahlt. </w:t>
      </w:r>
      <w:r>
        <w:rPr>
          <w:rFonts w:ascii="Calibri" w:cs="Calibri" w:eastAsia="Calibri" w:hAnsi="Calibri"/>
          <w:sz w:val="21"/>
          <w:szCs w:val="21"/>
        </w:rPr>
        <w:t xml:space="preserve">Onlinehändler, Fulfillment-Dienstleister, Re-Commerce-Plattformen, Marktplätze.</w:t>
      </w:r>
    </w:p>
    <w:p>
      <w:pPr>
        <w:spacing w:after="100" w:line="276"/>
      </w:pPr>
      <w:r>
        <w:rPr>
          <w:rFonts w:ascii="Calibri" w:cs="Calibri" w:eastAsia="Calibri" w:hAnsi="Calibri"/>
          <w:b/>
          <w:bCs/>
          <w:color w:val="1F3A5F"/>
          <w:sz w:val="21"/>
          <w:szCs w:val="21"/>
        </w:rPr>
        <w:t xml:space="preserve">Auslöser. </w:t>
      </w:r>
      <w:r>
        <w:rPr>
          <w:rFonts w:ascii="Calibri" w:cs="Calibri" w:eastAsia="Calibri" w:hAnsi="Calibri"/>
          <w:sz w:val="21"/>
          <w:szCs w:val="21"/>
        </w:rPr>
        <w:t xml:space="preserve">Retourenbetrug im Milliardenbereich, Margendruck, Plattform-Käuferschutz.</w:t>
      </w:r>
    </w:p>
    <w:p>
      <w:pPr>
        <w:spacing w:after="100" w:line="276"/>
      </w:pPr>
      <w:r>
        <w:rPr>
          <w:rFonts w:ascii="Calibri" w:cs="Calibri" w:eastAsia="Calibri" w:hAnsi="Calibri"/>
          <w:b/>
          <w:bCs/>
          <w:color w:val="1F3A5F"/>
          <w:sz w:val="21"/>
          <w:szCs w:val="21"/>
        </w:rPr>
        <w:t xml:space="preserve">Stand heute / Wettbewerb. </w:t>
      </w:r>
      <w:r>
        <w:rPr>
          <w:rFonts w:ascii="Calibri" w:cs="Calibri" w:eastAsia="Calibri" w:hAnsi="Calibri"/>
          <w:sz w:val="21"/>
          <w:szCs w:val="21"/>
        </w:rPr>
        <w:t xml:space="preserve">Videoaufzeichnung an Packstationen bei Großhändlern, aber ohne Beweissicherung und nicht für kleine Händler. Marktplätze (Vinted, Kleinanzeigen) haben nur Selbstauskunft der Nutzer.</w:t>
      </w:r>
    </w:p>
    <w:p>
      <w:pPr>
        <w:pStyle w:val="Heading3"/>
        <w:keepNext/>
        <w:spacing w:after="100" w:before="220"/>
      </w:pPr>
      <w:r>
        <w:t xml:space="preserve">Potenzielle Kunden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2000"/>
        <w:gridCol w:w="2700"/>
        <w:gridCol w:w="2238"/>
      </w:tblGrid>
      <w:tr>
        <w:trPr>
          <w:cantSplit/>
          <w:tblHeader/>
        </w:trPr>
        <w:tc>
          <w:tcPr>
            <w:tcW w:type="dxa" w:w="27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Organisation</w:t>
            </w:r>
          </w:p>
        </w:tc>
        <w:tc>
          <w:tcPr>
            <w:tcW w:type="dxa" w:w="20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Typ / Sitz</w:t>
            </w:r>
          </w:p>
        </w:tc>
        <w:tc>
          <w:tcPr>
            <w:tcW w:type="dxa" w:w="27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Zielrolle (Ansprechpartner)</w:t>
            </w:r>
          </w:p>
        </w:tc>
        <w:tc>
          <w:tcPr>
            <w:tcW w:type="dxa" w:w="2238"/>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Web / Zugang</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Zalando</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Onlinehändler, Berlin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Returns Operations; Fraud Prevention</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zalando.de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Otto Group</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Handelsgruppe, Hamburg</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Otto Payments/Fraud; Logistik (Hermes Fulfilment)</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ottogroup.com</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About You</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Onlinehändler, Hamburg</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Fraud &amp; Risk; Operations</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aboutyou.de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MediaMarktSaturn</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Elektronikhandel, Ingolstadt</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Retourenmanagement; Loss Prevention</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mediamarktsaturn.com</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Amazon Deutschland</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Marktplatz, München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Seller Support/Abuse Prevention (über Partnerprogramm)</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amazon.de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Arvato Supply Chain Solutions</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Fulfillment, Gütersloh</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Operations; Innovation</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arvato.com</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Hermes Fulfilment</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Fulfillment, Hamburg</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Retourenbetrieb</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hermes-fulfilment.com</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Back Market</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Refurbished-Marktplatz, DE-Büro Berlin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Quality/Seller Operations</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backmarket.de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rebuy</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Re-Commerce, Berlin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Wareneingang/Grading; Operations</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rebuy.de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momox</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Re-Commerce, Berlin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Operations; Qualitätsprüfung</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momox.de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refurbed</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Refurbished-Marktplatz, Wien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Quality Assurance; Seller Management</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refurbed.de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Vinted</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C2C-Plattform, DE-Büro Berlin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Trust &amp; Safety</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vinted.de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Chrono24</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Uhrenmarktplatz, Karlsruhe</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Trusted Checkout; Trust &amp; Safety</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chrono24.de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bevh Bundesverband E-Commerce und Versandhandel</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Verband, Berlin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Arbeitskreis Betrugsprävention</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bevh.org</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EHI Retail Institute</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Forschungsinstitut Handel, Köln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Forschungsbereich Inventurdifferenzen/Sicherheit</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ehi.org</w:t>
            </w:r>
          </w:p>
        </w:tc>
      </w:tr>
    </w:tbl>
    <w:p>
      <w:pPr>
        <w:spacing w:after="80"/>
      </w:pPr>
    </w:p>
    <w:p>
      <w:pPr>
        <w:pStyle w:val="Heading3"/>
        <w:keepNext/>
        <w:spacing w:after="100" w:before="220"/>
      </w:pPr>
      <w:r>
        <w:t xml:space="preserve">Multiplikatoren und Zugang</w:t>
      </w:r>
    </w:p>
    <w:p>
      <w:pPr>
        <w:pStyle w:val="ListParagraph"/>
        <w:numPr>
          <w:ilvl w:val="0"/>
          <w:numId w:val="2"/>
        </w:numPr>
        <w:spacing w:after="60" w:line="276"/>
      </w:pPr>
      <w:r>
        <w:rPr>
          <w:rFonts w:ascii="Calibri" w:cs="Calibri" w:eastAsia="Calibri" w:hAnsi="Calibri"/>
          <w:sz w:val="21"/>
          <w:szCs w:val="21"/>
        </w:rPr>
        <w:t xml:space="preserve">bevh und EHI (Studie 'Inventurdifferenzen') für Sichtbarkeit.</w:t>
      </w:r>
    </w:p>
    <w:p>
      <w:pPr>
        <w:pStyle w:val="ListParagraph"/>
        <w:numPr>
          <w:ilvl w:val="0"/>
          <w:numId w:val="2"/>
        </w:numPr>
        <w:spacing w:after="60" w:line="276"/>
      </w:pPr>
      <w:r>
        <w:rPr>
          <w:rFonts w:ascii="Calibri" w:cs="Calibri" w:eastAsia="Calibri" w:hAnsi="Calibri"/>
          <w:sz w:val="21"/>
          <w:szCs w:val="21"/>
        </w:rPr>
        <w:t xml:space="preserve">Fulfillment-Dienstleister erreichen hunderte Händler.</w:t>
      </w:r>
    </w:p>
    <w:p>
      <w:pPr>
        <w:pStyle w:val="Heading3"/>
        <w:keepNext/>
        <w:spacing w:after="100" w:before="220"/>
      </w:pPr>
      <w:r>
        <w:t xml:space="preserve">Empfohlener Einstieg</w:t>
      </w:r>
    </w:p>
    <w:p>
      <w:pPr>
        <w:pStyle w:val="ListParagraph"/>
        <w:numPr>
          <w:ilvl w:val="0"/>
          <w:numId w:val="2"/>
        </w:numPr>
        <w:spacing w:after="60" w:line="276"/>
      </w:pPr>
      <w:r>
        <w:rPr>
          <w:rFonts w:ascii="Calibri" w:cs="Calibri" w:eastAsia="Calibri" w:hAnsi="Calibri"/>
          <w:sz w:val="21"/>
          <w:szCs w:val="21"/>
        </w:rPr>
        <w:t xml:space="preserve">Hochwert-Segmente zuerst: Uhren (Chrono24), Refurbished-Elektronik (rebuy, Back Market).</w:t>
      </w:r>
    </w:p>
    <w:p>
      <w:pPr>
        <w:pStyle w:val="Heading2"/>
        <w:keepNext/>
        <w:spacing w:after="140" w:before="300"/>
      </w:pPr>
      <w:r>
        <w:t xml:space="preserve">D3 Chargebacks und Zahlungsdienstleister</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928"/>
        <w:gridCol w:w="1928"/>
        <w:gridCol w:w="1928"/>
        <w:gridCol w:w="1927"/>
        <w:gridCol w:w="1927"/>
      </w:tblGrid>
      <w:tr>
        <w:trPr>
          <w:cantSplit/>
          <w:tblHeader w:val="false"/>
        </w:trPr>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Volumen</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Schmerz (1–5)</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Wettbewerb</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Nähe zur App</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Priorität</w:t>
            </w:r>
          </w:p>
        </w:tc>
      </w:tr>
      <w:tr>
        <w:trPr>
          <w:cantSplit/>
        </w:trPr>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hoch</w:t>
            </w:r>
          </w:p>
        </w:tc>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3</w:t>
            </w:r>
          </w:p>
        </w:tc>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niedrig</w:t>
            </w:r>
          </w:p>
        </w:tc>
        <w:tc>
          <w:tcPr>
            <w:tcW w:type="dxa" w:w="1927"/>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niedrig</w:t>
            </w:r>
          </w:p>
        </w:tc>
        <w:tc>
          <w:tcPr>
            <w:tcW w:type="dxa" w:w="1927"/>
            <w:shd w:fill="F4F4F4"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8"/>
                <w:szCs w:val="18"/>
              </w:rPr>
              <w:t xml:space="preserve">C – beobachten / opportunistisch</w:t>
            </w:r>
          </w:p>
        </w:tc>
      </w:tr>
    </w:tbl>
    <w:p>
      <w:pPr>
        <w:spacing w:after="100"/>
      </w:pPr>
    </w:p>
    <w:p>
      <w:pPr>
        <w:spacing w:after="100" w:line="276"/>
      </w:pPr>
      <w:r>
        <w:rPr>
          <w:rFonts w:ascii="Calibri" w:cs="Calibri" w:eastAsia="Calibri" w:hAnsi="Calibri"/>
          <w:b/>
          <w:bCs/>
          <w:color w:val="1F3A5F"/>
          <w:sz w:val="21"/>
          <w:szCs w:val="21"/>
        </w:rPr>
        <w:t xml:space="preserve">Bedarf. </w:t>
      </w:r>
      <w:r>
        <w:rPr>
          <w:rFonts w:ascii="Calibri" w:cs="Calibri" w:eastAsia="Calibri" w:hAnsi="Calibri"/>
          <w:sz w:val="21"/>
          <w:szCs w:val="21"/>
        </w:rPr>
        <w:t xml:space="preserve">Bei Kreditkarten-Chargebacks und Käuferschutzverfahren muss der Händler Lieferung und Zustand belegen. Zahlungsdienstleister entscheiden nach Aktenlage. Beweissichere Fotos würden die Gewinnquote der Händler bei Disputes erhöhen.</w:t>
      </w:r>
    </w:p>
    <w:p>
      <w:pPr>
        <w:spacing w:after="100" w:line="276"/>
      </w:pPr>
      <w:r>
        <w:rPr>
          <w:rFonts w:ascii="Calibri" w:cs="Calibri" w:eastAsia="Calibri" w:hAnsi="Calibri"/>
          <w:b/>
          <w:bCs/>
          <w:color w:val="1F3A5F"/>
          <w:sz w:val="21"/>
          <w:szCs w:val="21"/>
        </w:rPr>
        <w:t xml:space="preserve">Wer bezahlt. </w:t>
      </w:r>
      <w:r>
        <w:rPr>
          <w:rFonts w:ascii="Calibri" w:cs="Calibri" w:eastAsia="Calibri" w:hAnsi="Calibri"/>
          <w:sz w:val="21"/>
          <w:szCs w:val="21"/>
        </w:rPr>
        <w:t xml:space="preserve">Payment Service Provider, Händler, Acquirer, Buy-now-pay-later-Anbieter.</w:t>
      </w:r>
    </w:p>
    <w:p>
      <w:pPr>
        <w:spacing w:after="100" w:line="276"/>
      </w:pPr>
      <w:r>
        <w:rPr>
          <w:rFonts w:ascii="Calibri" w:cs="Calibri" w:eastAsia="Calibri" w:hAnsi="Calibri"/>
          <w:b/>
          <w:bCs/>
          <w:color w:val="1F3A5F"/>
          <w:sz w:val="21"/>
          <w:szCs w:val="21"/>
        </w:rPr>
        <w:t xml:space="preserve">Auslöser. </w:t>
      </w:r>
      <w:r>
        <w:rPr>
          <w:rFonts w:ascii="Calibri" w:cs="Calibri" w:eastAsia="Calibri" w:hAnsi="Calibri"/>
          <w:sz w:val="21"/>
          <w:szCs w:val="21"/>
        </w:rPr>
        <w:t xml:space="preserve">Dispute-Volumen, 'friendly fraud', Visa/Mastercard-Regeln zu 'compelling evidence'.</w:t>
      </w:r>
    </w:p>
    <w:p>
      <w:pPr>
        <w:spacing w:after="100" w:line="276"/>
      </w:pPr>
      <w:r>
        <w:rPr>
          <w:rFonts w:ascii="Calibri" w:cs="Calibri" w:eastAsia="Calibri" w:hAnsi="Calibri"/>
          <w:b/>
          <w:bCs/>
          <w:color w:val="1F3A5F"/>
          <w:sz w:val="21"/>
          <w:szCs w:val="21"/>
        </w:rPr>
        <w:t xml:space="preserve">Stand heute / Wettbewerb. </w:t>
      </w:r>
      <w:r>
        <w:rPr>
          <w:rFonts w:ascii="Calibri" w:cs="Calibri" w:eastAsia="Calibri" w:hAnsi="Calibri"/>
          <w:sz w:val="21"/>
          <w:szCs w:val="21"/>
        </w:rPr>
        <w:t xml:space="preserve">Dispute-Management-Tools (Chargebacks911, Verifi) sammeln Belege, prüfen aber keine Echtheit.</w:t>
      </w:r>
    </w:p>
    <w:p>
      <w:pPr>
        <w:pStyle w:val="Heading3"/>
        <w:keepNext/>
        <w:spacing w:after="100" w:before="220"/>
      </w:pPr>
      <w:r>
        <w:t xml:space="preserve">Potenzielle Kunden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2000"/>
        <w:gridCol w:w="2700"/>
        <w:gridCol w:w="2238"/>
      </w:tblGrid>
      <w:tr>
        <w:trPr>
          <w:cantSplit/>
          <w:tblHeader/>
        </w:trPr>
        <w:tc>
          <w:tcPr>
            <w:tcW w:type="dxa" w:w="27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Organisation</w:t>
            </w:r>
          </w:p>
        </w:tc>
        <w:tc>
          <w:tcPr>
            <w:tcW w:type="dxa" w:w="20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Typ / Sitz</w:t>
            </w:r>
          </w:p>
        </w:tc>
        <w:tc>
          <w:tcPr>
            <w:tcW w:type="dxa" w:w="27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Zielrolle (Ansprechpartner)</w:t>
            </w:r>
          </w:p>
        </w:tc>
        <w:tc>
          <w:tcPr>
            <w:tcW w:type="dxa" w:w="2238"/>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Web / Zugang</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PayPal Deutschland</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Zahlungsdienstleister, Kleinmachnow</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Merchant Risk; Disputes</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paypal.de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Klarna</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BNPL, DE-Büro Berlin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Merchant Disputes; Risk</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klarna.de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Adyen</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Zahlungsdienstleister, DE-Büro Berlin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Risk/Dispute Products</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adyen.com</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Riverty (Bertelsmann)</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BNPL/Payments, Verl/Berlin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Risk Management; Product</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riverty.com</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Payone</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Acquirer, Frankfurt</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Risk &amp; Fraud; Merchant Services</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payone.com</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Unzer</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Zahlungsdienstleister, Heidelberg</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Risk; Product</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unzer.com</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Computop</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Zahlungsdienstleister, Bamberg</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Produktmanagement; Fraud Prevention</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computop.com</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Mollie Deutschland</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Zahlungsdienstleister, München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Partnerships</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mollie.com</w:t>
            </w:r>
          </w:p>
        </w:tc>
      </w:tr>
    </w:tbl>
    <w:p>
      <w:pPr>
        <w:spacing w:after="80"/>
      </w:pPr>
    </w:p>
    <w:p>
      <w:pPr>
        <w:pStyle w:val="Heading3"/>
        <w:keepNext/>
        <w:spacing w:after="100" w:before="220"/>
      </w:pPr>
      <w:r>
        <w:t xml:space="preserve">Multiplikatoren und Zugang</w:t>
      </w:r>
    </w:p>
    <w:p>
      <w:pPr>
        <w:pStyle w:val="ListParagraph"/>
        <w:numPr>
          <w:ilvl w:val="0"/>
          <w:numId w:val="2"/>
        </w:numPr>
        <w:spacing w:after="60" w:line="276"/>
      </w:pPr>
      <w:r>
        <w:rPr>
          <w:rFonts w:ascii="Calibri" w:cs="Calibri" w:eastAsia="Calibri" w:hAnsi="Calibri"/>
          <w:sz w:val="21"/>
          <w:szCs w:val="21"/>
        </w:rPr>
        <w:t xml:space="preserve">PSPs mit Händlerportal können Beweisfoto-Upload als Feature integrieren.</w:t>
      </w:r>
    </w:p>
    <w:p>
      <w:pPr>
        <w:pStyle w:val="Heading3"/>
        <w:keepNext/>
        <w:spacing w:after="100" w:before="220"/>
      </w:pPr>
      <w:r>
        <w:t xml:space="preserve">Empfohlener Einstieg</w:t>
      </w:r>
    </w:p>
    <w:p>
      <w:pPr>
        <w:pStyle w:val="ListParagraph"/>
        <w:numPr>
          <w:ilvl w:val="0"/>
          <w:numId w:val="2"/>
        </w:numPr>
        <w:spacing w:after="60" w:line="276"/>
      </w:pPr>
      <w:r>
        <w:rPr>
          <w:rFonts w:ascii="Calibri" w:cs="Calibri" w:eastAsia="Calibri" w:hAnsi="Calibri"/>
          <w:sz w:val="21"/>
          <w:szCs w:val="21"/>
        </w:rPr>
        <w:t xml:space="preserve">Partnerschaft mit einem PSP: 'verifizierter Versandbeleg' als Dispute-Beweis, zunächst für Hochpreisware.</w:t>
      </w:r>
    </w:p>
    <w:p>
      <w:pPr>
        <w:pStyle w:val="Heading2"/>
        <w:keepNext/>
        <w:spacing w:after="140" w:before="300"/>
      </w:pPr>
      <w:r>
        <w:t xml:space="preserve">D4 KYC, Dokumentenprüfung und Bewerbungsunterlagen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928"/>
        <w:gridCol w:w="1928"/>
        <w:gridCol w:w="1928"/>
        <w:gridCol w:w="1927"/>
        <w:gridCol w:w="1927"/>
      </w:tblGrid>
      <w:tr>
        <w:trPr>
          <w:cantSplit/>
          <w:tblHeader w:val="false"/>
        </w:trPr>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Volumen</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Schmerz (1–5)</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Wettbewerb</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Nähe zur App</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Priorität</w:t>
            </w:r>
          </w:p>
        </w:tc>
      </w:tr>
      <w:tr>
        <w:trPr>
          <w:cantSplit/>
        </w:trPr>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hoch</w:t>
            </w:r>
          </w:p>
        </w:tc>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4</w:t>
            </w:r>
          </w:p>
        </w:tc>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mittel</w:t>
            </w:r>
          </w:p>
        </w:tc>
        <w:tc>
          <w:tcPr>
            <w:tcW w:type="dxa" w:w="1927"/>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niedrig</w:t>
            </w:r>
          </w:p>
        </w:tc>
        <w:tc>
          <w:tcPr>
            <w:tcW w:type="dxa" w:w="1927"/>
            <w:shd w:fill="F4F4F4"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8"/>
                <w:szCs w:val="18"/>
              </w:rPr>
              <w:t xml:space="preserve">C – beobachten / opportunistisch</w:t>
            </w:r>
          </w:p>
        </w:tc>
      </w:tr>
    </w:tbl>
    <w:p>
      <w:pPr>
        <w:spacing w:after="100"/>
      </w:pPr>
    </w:p>
    <w:p>
      <w:pPr>
        <w:spacing w:after="100" w:line="276"/>
      </w:pPr>
      <w:r>
        <w:rPr>
          <w:rFonts w:ascii="Calibri" w:cs="Calibri" w:eastAsia="Calibri" w:hAnsi="Calibri"/>
          <w:b/>
          <w:bCs/>
          <w:color w:val="1F3A5F"/>
          <w:sz w:val="21"/>
          <w:szCs w:val="21"/>
        </w:rPr>
        <w:t xml:space="preserve">Bedarf. </w:t>
      </w:r>
      <w:r>
        <w:rPr>
          <w:rFonts w:ascii="Calibri" w:cs="Calibri" w:eastAsia="Calibri" w:hAnsi="Calibri"/>
          <w:sz w:val="21"/>
          <w:szCs w:val="21"/>
        </w:rPr>
        <w:t xml:space="preserve">Gehaltsnachweise, Kontoauszüge, Mietbewerbungen, Arbeitszeugnisse und Ausweiskopien werden mit KI gefälscht. Banken, Vermieterportale, Kreditvermittler und Arbeitgeber müssen Dokumente prüfen, die nicht in ihrem System entstanden sind. Erfassung am Original mit Herkunftsnachweis schließt die Lücke.</w:t>
      </w:r>
    </w:p>
    <w:p>
      <w:pPr>
        <w:spacing w:after="100" w:line="276"/>
      </w:pPr>
      <w:r>
        <w:rPr>
          <w:rFonts w:ascii="Calibri" w:cs="Calibri" w:eastAsia="Calibri" w:hAnsi="Calibri"/>
          <w:b/>
          <w:bCs/>
          <w:color w:val="1F3A5F"/>
          <w:sz w:val="21"/>
          <w:szCs w:val="21"/>
        </w:rPr>
        <w:t xml:space="preserve">Wer bezahlt. </w:t>
      </w:r>
      <w:r>
        <w:rPr>
          <w:rFonts w:ascii="Calibri" w:cs="Calibri" w:eastAsia="Calibri" w:hAnsi="Calibri"/>
          <w:sz w:val="21"/>
          <w:szCs w:val="21"/>
        </w:rPr>
        <w:t xml:space="preserve">Banken, Kreditvermittler, Identitätsdienstleister, Vermieterportale, Auskunfteien, HR-Dienstleister.</w:t>
      </w:r>
    </w:p>
    <w:p>
      <w:pPr>
        <w:spacing w:after="100" w:line="276"/>
      </w:pPr>
      <w:r>
        <w:rPr>
          <w:rFonts w:ascii="Calibri" w:cs="Calibri" w:eastAsia="Calibri" w:hAnsi="Calibri"/>
          <w:b/>
          <w:bCs/>
          <w:color w:val="1F3A5F"/>
          <w:sz w:val="21"/>
          <w:szCs w:val="21"/>
        </w:rPr>
        <w:t xml:space="preserve">Auslöser. </w:t>
      </w:r>
      <w:r>
        <w:rPr>
          <w:rFonts w:ascii="Calibri" w:cs="Calibri" w:eastAsia="Calibri" w:hAnsi="Calibri"/>
          <w:sz w:val="21"/>
          <w:szCs w:val="21"/>
        </w:rPr>
        <w:t xml:space="preserve">Geldwäschegesetz, BaFin-Anforderungen, Betrugsquoten bei Konsumentenkrediten, Mietbetrug.</w:t>
      </w:r>
    </w:p>
    <w:p>
      <w:pPr>
        <w:spacing w:after="100" w:line="276"/>
      </w:pPr>
      <w:r>
        <w:rPr>
          <w:rFonts w:ascii="Calibri" w:cs="Calibri" w:eastAsia="Calibri" w:hAnsi="Calibri"/>
          <w:b/>
          <w:bCs/>
          <w:color w:val="1F3A5F"/>
          <w:sz w:val="21"/>
          <w:szCs w:val="21"/>
        </w:rPr>
        <w:t xml:space="preserve">Stand heute / Wettbewerb. </w:t>
      </w:r>
      <w:r>
        <w:rPr>
          <w:rFonts w:ascii="Calibri" w:cs="Calibri" w:eastAsia="Calibri" w:hAnsi="Calibri"/>
          <w:sz w:val="21"/>
          <w:szCs w:val="21"/>
        </w:rPr>
        <w:t xml:space="preserve">IDnow, WebID, Nect, Verimi prüfen Identität, nicht Dokumentenherkunft. Document-Fraud-Erkennung (Resistant AI, Inscribe) arbeitet forensisch nachträglich, nicht bei der Erfassung.</w:t>
      </w:r>
    </w:p>
    <w:p>
      <w:pPr>
        <w:pStyle w:val="Heading3"/>
        <w:keepNext/>
        <w:spacing w:after="100" w:before="220"/>
      </w:pPr>
      <w:r>
        <w:t xml:space="preserve">Potenzielle Kunden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2000"/>
        <w:gridCol w:w="2700"/>
        <w:gridCol w:w="2238"/>
      </w:tblGrid>
      <w:tr>
        <w:trPr>
          <w:cantSplit/>
          <w:tblHeader/>
        </w:trPr>
        <w:tc>
          <w:tcPr>
            <w:tcW w:type="dxa" w:w="27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Organisation</w:t>
            </w:r>
          </w:p>
        </w:tc>
        <w:tc>
          <w:tcPr>
            <w:tcW w:type="dxa" w:w="20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Typ / Sitz</w:t>
            </w:r>
          </w:p>
        </w:tc>
        <w:tc>
          <w:tcPr>
            <w:tcW w:type="dxa" w:w="27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Zielrolle (Ansprechpartner)</w:t>
            </w:r>
          </w:p>
        </w:tc>
        <w:tc>
          <w:tcPr>
            <w:tcW w:type="dxa" w:w="2238"/>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Web / Zugang</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IDnow</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Identitätsprüfung, München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Produktmanagement; Partnerships</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idnow.io</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WebID Solutions</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Identitätsprüfung, Berlin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Produkt; Business Development</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webid-solutions.de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Nect</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Identitätsprüfung, Hamburg</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Produkt</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nect.com</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Verimi</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Identitätsplattform, Berlin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Partnermanagement</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verimi.de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SCHUFA</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Auskunftei, Wiesbaden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Produktmanagement (Mieterauskunft, Dokumentenprüfung)</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schufa.de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Creditreform</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Auskunftei, Neuss</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Produktmanagement; Innovation</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creditreform.de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CRIF</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Auskunftei, Hamburg</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Fraud Prevention Products</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crif.de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auxmoney</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Kreditplattform, Düsseldorf</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Risk; Fraud</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auxmoney.com</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smava</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Kreditvermittler, Berlin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Risk/Operations</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smava.de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CHECK24</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Vergleichsportal, München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Kredit/Versicherung Operations</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check24.de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ImmoScout24 (MieterPlus/Bewerbermappe)</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Portal, Berlin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Produkt Mieterbewerbung</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immobilienscout24.de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Bundesdruckerei / D-Trust</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Staatlicher Identitäts- und Vertrauensdiensteanbieter, Berlin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Business Development; Partnerschaften</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bundesdruckerei.de</w:t>
            </w:r>
          </w:p>
        </w:tc>
      </w:tr>
    </w:tbl>
    <w:p>
      <w:pPr>
        <w:spacing w:after="80"/>
      </w:pPr>
    </w:p>
    <w:p>
      <w:pPr>
        <w:pStyle w:val="Heading3"/>
        <w:keepNext/>
        <w:spacing w:after="100" w:before="220"/>
      </w:pPr>
      <w:r>
        <w:t xml:space="preserve">Multiplikatoren und Zugang</w:t>
      </w:r>
    </w:p>
    <w:p>
      <w:pPr>
        <w:pStyle w:val="ListParagraph"/>
        <w:numPr>
          <w:ilvl w:val="0"/>
          <w:numId w:val="2"/>
        </w:numPr>
        <w:spacing w:after="60" w:line="276"/>
      </w:pPr>
      <w:r>
        <w:rPr>
          <w:rFonts w:ascii="Calibri" w:cs="Calibri" w:eastAsia="Calibri" w:hAnsi="Calibri"/>
          <w:sz w:val="21"/>
          <w:szCs w:val="21"/>
        </w:rPr>
        <w:t xml:space="preserve">Identitätsdienstleister als Integrationspartner in Banken.</w:t>
      </w:r>
    </w:p>
    <w:p>
      <w:pPr>
        <w:pStyle w:val="ListParagraph"/>
        <w:numPr>
          <w:ilvl w:val="0"/>
          <w:numId w:val="2"/>
        </w:numPr>
        <w:spacing w:after="60" w:line="276"/>
      </w:pPr>
      <w:r>
        <w:rPr>
          <w:rFonts w:ascii="Calibri" w:cs="Calibri" w:eastAsia="Calibri" w:hAnsi="Calibri"/>
          <w:sz w:val="21"/>
          <w:szCs w:val="21"/>
        </w:rPr>
        <w:t xml:space="preserve">Bitkom-Arbeitskreis Digital Identity.</w:t>
      </w:r>
    </w:p>
    <w:p>
      <w:pPr>
        <w:pStyle w:val="Heading3"/>
        <w:keepNext/>
        <w:spacing w:after="100" w:before="220"/>
      </w:pPr>
      <w:r>
        <w:t xml:space="preserve">Empfohlener Einstieg</w:t>
      </w:r>
    </w:p>
    <w:p>
      <w:pPr>
        <w:pStyle w:val="ListParagraph"/>
        <w:numPr>
          <w:ilvl w:val="0"/>
          <w:numId w:val="2"/>
        </w:numPr>
        <w:spacing w:after="60" w:line="276"/>
      </w:pPr>
      <w:r>
        <w:rPr>
          <w:rFonts w:ascii="Calibri" w:cs="Calibri" w:eastAsia="Calibri" w:hAnsi="Calibri"/>
          <w:sz w:val="21"/>
          <w:szCs w:val="21"/>
        </w:rPr>
        <w:t xml:space="preserve">Mietbewerbung als Einstieg (ImmoScout24, SCHUFA), weil Vermieter und Mieter beide Betrugsopfer sind.</w:t>
      </w:r>
    </w:p>
    <w:p>
      <w:r>
        <w:br w:type="page"/>
      </w:r>
    </w:p>
    <w:p>
      <w:pPr>
        <w:pStyle w:val="Heading1"/>
        <w:keepNext/>
        <w:spacing w:after="200" w:before="360"/>
      </w:pPr>
      <w:r>
        <w:t xml:space="preserve">8. Leistungsnachweis und Verkehrssicherungspflicht (Feld E)</w:t>
      </w:r>
    </w:p>
    <w:p>
      <w:pPr>
        <w:spacing w:after="120" w:before="0" w:line="276"/>
      </w:pPr>
      <w:r>
        <w:rPr>
          <w:rFonts w:ascii="Calibri" w:cs="Calibri" w:eastAsia="Calibri" w:hAnsi="Calibri"/>
          <w:sz w:val="21"/>
          <w:szCs w:val="21"/>
        </w:rPr>
        <w:t xml:space="preserve">Dienstleister müssen beweisen, dass sie eine Pflicht erfüllt haben, bevor etwas passiert ist. Der Zustand (Schnee, Sauberkeit, Köderbox, Baumzustand) ist Stunden später nicht mehr rekonstruierbar. Genau dieses Zeitfenster macht die Beweissicherung wertvoll.</w:t>
      </w:r>
    </w:p>
    <w:p>
      <w:pPr>
        <w:pStyle w:val="Heading2"/>
        <w:keepNext/>
        <w:spacing w:after="140" w:before="300"/>
      </w:pPr>
      <w:r>
        <w:t xml:space="preserve">E1 Winterdienst</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928"/>
        <w:gridCol w:w="1928"/>
        <w:gridCol w:w="1928"/>
        <w:gridCol w:w="1927"/>
        <w:gridCol w:w="1927"/>
      </w:tblGrid>
      <w:tr>
        <w:trPr>
          <w:cantSplit/>
          <w:tblHeader w:val="false"/>
        </w:trPr>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Volumen</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Schmerz (1–5)</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Wettbewerb</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Nähe zur App</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Priorität</w:t>
            </w:r>
          </w:p>
        </w:tc>
      </w:tr>
      <w:tr>
        <w:trPr>
          <w:cantSplit/>
        </w:trPr>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hoch</w:t>
            </w:r>
          </w:p>
        </w:tc>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5</w:t>
            </w:r>
          </w:p>
        </w:tc>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niedrig</w:t>
            </w:r>
          </w:p>
        </w:tc>
        <w:tc>
          <w:tcPr>
            <w:tcW w:type="dxa" w:w="1927"/>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hoch</w:t>
            </w:r>
          </w:p>
        </w:tc>
        <w:tc>
          <w:tcPr>
            <w:tcW w:type="dxa" w:w="1927"/>
            <w:shd w:fill="D9EAD3"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8"/>
                <w:szCs w:val="18"/>
              </w:rPr>
              <w:t xml:space="preserve">A – sofort angehen</w:t>
            </w:r>
          </w:p>
        </w:tc>
      </w:tr>
    </w:tbl>
    <w:p>
      <w:pPr>
        <w:spacing w:after="100"/>
      </w:pPr>
    </w:p>
    <w:p>
      <w:pPr>
        <w:spacing w:after="100" w:line="276"/>
      </w:pPr>
      <w:r>
        <w:rPr>
          <w:rFonts w:ascii="Calibri" w:cs="Calibri" w:eastAsia="Calibri" w:hAnsi="Calibri"/>
          <w:b/>
          <w:bCs/>
          <w:color w:val="1F3A5F"/>
          <w:sz w:val="21"/>
          <w:szCs w:val="21"/>
        </w:rPr>
        <w:t xml:space="preserve">Bedarf. </w:t>
      </w:r>
      <w:r>
        <w:rPr>
          <w:rFonts w:ascii="Calibri" w:cs="Calibri" w:eastAsia="Calibri" w:hAnsi="Calibri"/>
          <w:sz w:val="21"/>
          <w:szCs w:val="21"/>
        </w:rPr>
        <w:t xml:space="preserve">Bei einem Glatteisunfall haftet der Grundstückseigentümer, der den Winterdienst beauftragt hat. Der Dienstleister muss beweisen, dass er zur vorgeschriebenen Zeit geräumt und gestreut hat. Fahrzeuge werden per GPS getrackt, Handräumung an Eingängen und Treppen nicht.</w:t>
      </w:r>
    </w:p>
    <w:p>
      <w:pPr>
        <w:spacing w:after="100" w:line="276"/>
      </w:pPr>
      <w:r>
        <w:rPr>
          <w:rFonts w:ascii="Calibri" w:cs="Calibri" w:eastAsia="Calibri" w:hAnsi="Calibri"/>
          <w:b/>
          <w:bCs/>
          <w:color w:val="1F3A5F"/>
          <w:sz w:val="21"/>
          <w:szCs w:val="21"/>
        </w:rPr>
        <w:t xml:space="preserve">Wer bezahlt. </w:t>
      </w:r>
      <w:r>
        <w:rPr>
          <w:rFonts w:ascii="Calibri" w:cs="Calibri" w:eastAsia="Calibri" w:hAnsi="Calibri"/>
          <w:sz w:val="21"/>
          <w:szCs w:val="21"/>
        </w:rPr>
        <w:t xml:space="preserve">Gebäudedienstleister, kommunale Betriebe, Garten- und Landschaftsbauer, Hausverwaltungen, Haftpflichtversicherer.</w:t>
      </w:r>
    </w:p>
    <w:p>
      <w:pPr>
        <w:spacing w:after="100" w:line="276"/>
      </w:pPr>
      <w:r>
        <w:rPr>
          <w:rFonts w:ascii="Calibri" w:cs="Calibri" w:eastAsia="Calibri" w:hAnsi="Calibri"/>
          <w:b/>
          <w:bCs/>
          <w:color w:val="1F3A5F"/>
          <w:sz w:val="21"/>
          <w:szCs w:val="21"/>
        </w:rPr>
        <w:t xml:space="preserve">Auslöser. </w:t>
      </w:r>
      <w:r>
        <w:rPr>
          <w:rFonts w:ascii="Calibri" w:cs="Calibri" w:eastAsia="Calibri" w:hAnsi="Calibri"/>
          <w:sz w:val="21"/>
          <w:szCs w:val="21"/>
        </w:rPr>
        <w:t xml:space="preserve">Haftungsurteile, Regress der Haftpflichtversicherer, Ausschreibungsanforderungen von Kommunen und Wohnungsunternehmen.</w:t>
      </w:r>
    </w:p>
    <w:p>
      <w:pPr>
        <w:spacing w:after="100" w:line="276"/>
      </w:pPr>
      <w:r>
        <w:rPr>
          <w:rFonts w:ascii="Calibri" w:cs="Calibri" w:eastAsia="Calibri" w:hAnsi="Calibri"/>
          <w:b/>
          <w:bCs/>
          <w:color w:val="1F3A5F"/>
          <w:sz w:val="21"/>
          <w:szCs w:val="21"/>
        </w:rPr>
        <w:t xml:space="preserve">Stand heute / Wettbewerb. </w:t>
      </w:r>
      <w:r>
        <w:rPr>
          <w:rFonts w:ascii="Calibri" w:cs="Calibri" w:eastAsia="Calibri" w:hAnsi="Calibri"/>
          <w:sz w:val="21"/>
          <w:szCs w:val="21"/>
        </w:rPr>
        <w:t xml:space="preserve">GPS-Streuprotokolle für Fahrzeuge etabliert. Für Handarbeit nur Papierlisten.</w:t>
      </w:r>
    </w:p>
    <w:p>
      <w:pPr>
        <w:pStyle w:val="Heading3"/>
        <w:keepNext/>
        <w:spacing w:after="100" w:before="220"/>
      </w:pPr>
      <w:r>
        <w:t xml:space="preserve">Potenzielle Kunden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2000"/>
        <w:gridCol w:w="2700"/>
        <w:gridCol w:w="2238"/>
      </w:tblGrid>
      <w:tr>
        <w:trPr>
          <w:cantSplit/>
          <w:tblHeader/>
        </w:trPr>
        <w:tc>
          <w:tcPr>
            <w:tcW w:type="dxa" w:w="27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Organisation</w:t>
            </w:r>
          </w:p>
        </w:tc>
        <w:tc>
          <w:tcPr>
            <w:tcW w:type="dxa" w:w="20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Typ / Sitz</w:t>
            </w:r>
          </w:p>
        </w:tc>
        <w:tc>
          <w:tcPr>
            <w:tcW w:type="dxa" w:w="27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Zielrolle (Ansprechpartner)</w:t>
            </w:r>
          </w:p>
        </w:tc>
        <w:tc>
          <w:tcPr>
            <w:tcW w:type="dxa" w:w="2238"/>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Web / Zugang</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Piepenbrock</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Gebäudedienstleister, Osnabrück</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Bereichsleitung Facility Services/Winterdienst</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piepenbrock.de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Dussmann Group</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Gebäudedienstleister, Berlin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Facility Management; Digitalisierung</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dussmann.com</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WISAG Facility Service</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Gebäudedienstleister, Frankfurt</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Garten- und Landschaftspflege; Digitalisierung</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wisag.de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Apleona</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Facility Management, Neu-Isenburg</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Operations; Digital Solutions</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apleona.com</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Klüh Service Management</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Gebäudedienstleister, Düsseldorf</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Facility Services</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klueh.de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ISS Deutschland</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Facility Services, Düsseldorf</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Operations Excellence</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de.issworld.com</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Remondis (Kommunaldienste)</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Entsorgung/Kommunaldienste, Lünen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Kommunale Dienstleistungen; Winterdienst</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remondis.de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ALBA Group</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Entsorgung/Dienstleistung, Berlin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Kommunale Services</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alba.info</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Berliner Stadtreinigung (BSR)</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Kommunaler Betrieb, Berlin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Winterdienst; Digitalisierung</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bsr.de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Stadtreinigung Hamburg</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Kommunaler Betrieb, Hamburg</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Winterdienst</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stadtreinigung.hamburg</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Bundesinnungsverband des Gebäudereiniger-Handwerks (BIV)</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Verband, Bonn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Geschäftsführung; Technik</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die-gebaeudedienstleister.de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Bundesverband Garten-, Landschafts- und Sportplatzbau (BGL)</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Verband, Bad Honnef</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Geschäftsführung; Arbeitskreis Pflege/Winterdienst</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galabau.de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VKU Verband kommunaler Unternehmen</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Verband, Berlin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Sparte Abfallwirtschaft und Stadtsauberkeit</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vku.de</w:t>
            </w:r>
          </w:p>
        </w:tc>
      </w:tr>
    </w:tbl>
    <w:p>
      <w:pPr>
        <w:spacing w:after="80"/>
      </w:pPr>
    </w:p>
    <w:p>
      <w:pPr>
        <w:pStyle w:val="Heading3"/>
        <w:keepNext/>
        <w:spacing w:after="100" w:before="220"/>
      </w:pPr>
      <w:r>
        <w:t xml:space="preserve">Multiplikatoren und Zugang</w:t>
      </w:r>
    </w:p>
    <w:p>
      <w:pPr>
        <w:pStyle w:val="ListParagraph"/>
        <w:numPr>
          <w:ilvl w:val="0"/>
          <w:numId w:val="2"/>
        </w:numPr>
        <w:spacing w:after="60" w:line="276"/>
      </w:pPr>
      <w:r>
        <w:rPr>
          <w:rFonts w:ascii="Calibri" w:cs="Calibri" w:eastAsia="Calibri" w:hAnsi="Calibri"/>
          <w:sz w:val="21"/>
          <w:szCs w:val="21"/>
        </w:rPr>
        <w:t xml:space="preserve">Haftpflichtversicherer der Eigentümer (über Haus &amp; Grund, Wohnungsunternehmen) können Nachweis vorschreiben.</w:t>
      </w:r>
    </w:p>
    <w:p>
      <w:pPr>
        <w:pStyle w:val="ListParagraph"/>
        <w:numPr>
          <w:ilvl w:val="0"/>
          <w:numId w:val="2"/>
        </w:numPr>
        <w:spacing w:after="60" w:line="276"/>
      </w:pPr>
      <w:r>
        <w:rPr>
          <w:rFonts w:ascii="Calibri" w:cs="Calibri" w:eastAsia="Calibri" w:hAnsi="Calibri"/>
          <w:sz w:val="21"/>
          <w:szCs w:val="21"/>
        </w:rPr>
        <w:t xml:space="preserve">Gebäudereiniger-Innung erreicht tausende Kleinbetriebe.</w:t>
      </w:r>
    </w:p>
    <w:p>
      <w:pPr>
        <w:pStyle w:val="Heading3"/>
        <w:keepNext/>
        <w:spacing w:after="100" w:before="220"/>
      </w:pPr>
      <w:r>
        <w:t xml:space="preserve">Empfohlener Einstieg</w:t>
      </w:r>
    </w:p>
    <w:p>
      <w:pPr>
        <w:pStyle w:val="ListParagraph"/>
        <w:numPr>
          <w:ilvl w:val="0"/>
          <w:numId w:val="2"/>
        </w:numPr>
        <w:spacing w:after="60" w:line="276"/>
      </w:pPr>
      <w:r>
        <w:rPr>
          <w:rFonts w:ascii="Calibri" w:cs="Calibri" w:eastAsia="Calibri" w:hAnsi="Calibri"/>
          <w:sz w:val="21"/>
          <w:szCs w:val="21"/>
        </w:rPr>
        <w:t xml:space="preserve">Saisonprodukt für Winter 2026/27: Handräumungs-Nachweis mit Zeit, Ort, Foto. Pilot mit einem Gebäudedienstleister und einem Wohnungsunternehmen als Auftraggeber.</w:t>
      </w:r>
    </w:p>
    <w:p>
      <w:pPr>
        <w:pStyle w:val="Heading2"/>
        <w:keepNext/>
        <w:spacing w:after="140" w:before="300"/>
      </w:pPr>
      <w:r>
        <w:t xml:space="preserve">E2 Kommunale Verkehrssicherungspflicht (Bäume, Spielplätze, Straßen)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928"/>
        <w:gridCol w:w="1928"/>
        <w:gridCol w:w="1928"/>
        <w:gridCol w:w="1927"/>
        <w:gridCol w:w="1927"/>
      </w:tblGrid>
      <w:tr>
        <w:trPr>
          <w:cantSplit/>
          <w:tblHeader w:val="false"/>
        </w:trPr>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Volumen</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Schmerz (1–5)</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Wettbewerb</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Nähe zur App</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Priorität</w:t>
            </w:r>
          </w:p>
        </w:tc>
      </w:tr>
      <w:tr>
        <w:trPr>
          <w:cantSplit/>
        </w:trPr>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hoch</w:t>
            </w:r>
          </w:p>
        </w:tc>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4</w:t>
            </w:r>
          </w:p>
        </w:tc>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niedrig</w:t>
            </w:r>
          </w:p>
        </w:tc>
        <w:tc>
          <w:tcPr>
            <w:tcW w:type="dxa" w:w="1927"/>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hoch</w:t>
            </w:r>
          </w:p>
        </w:tc>
        <w:tc>
          <w:tcPr>
            <w:tcW w:type="dxa" w:w="1927"/>
            <w:shd w:fill="D9EAD3"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8"/>
                <w:szCs w:val="18"/>
              </w:rPr>
              <w:t xml:space="preserve">A – sofort angehen</w:t>
            </w:r>
          </w:p>
        </w:tc>
      </w:tr>
    </w:tbl>
    <w:p>
      <w:pPr>
        <w:spacing w:after="100"/>
      </w:pPr>
    </w:p>
    <w:p>
      <w:pPr>
        <w:spacing w:after="100" w:line="276"/>
      </w:pPr>
      <w:r>
        <w:rPr>
          <w:rFonts w:ascii="Calibri" w:cs="Calibri" w:eastAsia="Calibri" w:hAnsi="Calibri"/>
          <w:b/>
          <w:bCs/>
          <w:color w:val="1F3A5F"/>
          <w:sz w:val="21"/>
          <w:szCs w:val="21"/>
        </w:rPr>
        <w:t xml:space="preserve">Bedarf. </w:t>
      </w:r>
      <w:r>
        <w:rPr>
          <w:rFonts w:ascii="Calibri" w:cs="Calibri" w:eastAsia="Calibri" w:hAnsi="Calibri"/>
          <w:sz w:val="21"/>
          <w:szCs w:val="21"/>
        </w:rPr>
        <w:t xml:space="preserve">Kommunen haften für Baumbruch, Spielplatzunfälle und Straßenschäden, wenn sie Kontrollen nicht nachweisen können. Regelkontrollen (FLL-Baumkontrolle, DIN 1176 Spielplatz, Straßenbegehung) werden mit Listen und einfachen Kataster-Apps dokumentiert, die vor Gericht angreifbar sind.</w:t>
      </w:r>
    </w:p>
    <w:p>
      <w:pPr>
        <w:spacing w:after="100" w:line="276"/>
      </w:pPr>
      <w:r>
        <w:rPr>
          <w:rFonts w:ascii="Calibri" w:cs="Calibri" w:eastAsia="Calibri" w:hAnsi="Calibri"/>
          <w:b/>
          <w:bCs/>
          <w:color w:val="1F3A5F"/>
          <w:sz w:val="21"/>
          <w:szCs w:val="21"/>
        </w:rPr>
        <w:t xml:space="preserve">Wer bezahlt. </w:t>
      </w:r>
      <w:r>
        <w:rPr>
          <w:rFonts w:ascii="Calibri" w:cs="Calibri" w:eastAsia="Calibri" w:hAnsi="Calibri"/>
          <w:sz w:val="21"/>
          <w:szCs w:val="21"/>
        </w:rPr>
        <w:t xml:space="preserve">Städte, Gemeinden, Landkreise, Straßenbaulastträger, Kommunalversicherer, Baumkontrollbüros.</w:t>
      </w:r>
    </w:p>
    <w:p>
      <w:pPr>
        <w:spacing w:after="100" w:line="276"/>
      </w:pPr>
      <w:r>
        <w:rPr>
          <w:rFonts w:ascii="Calibri" w:cs="Calibri" w:eastAsia="Calibri" w:hAnsi="Calibri"/>
          <w:b/>
          <w:bCs/>
          <w:color w:val="1F3A5F"/>
          <w:sz w:val="21"/>
          <w:szCs w:val="21"/>
        </w:rPr>
        <w:t xml:space="preserve">Auslöser. </w:t>
      </w:r>
      <w:r>
        <w:rPr>
          <w:rFonts w:ascii="Calibri" w:cs="Calibri" w:eastAsia="Calibri" w:hAnsi="Calibri"/>
          <w:sz w:val="21"/>
          <w:szCs w:val="21"/>
        </w:rPr>
        <w:t xml:space="preserve">Amtshaftungsurteile, Kommunalversicherer verlangen Kontrollnachweise, Personalmangel in Grünflächenämtern.</w:t>
      </w:r>
    </w:p>
    <w:p>
      <w:pPr>
        <w:spacing w:after="100" w:line="276"/>
      </w:pPr>
      <w:r>
        <w:rPr>
          <w:rFonts w:ascii="Calibri" w:cs="Calibri" w:eastAsia="Calibri" w:hAnsi="Calibri"/>
          <w:b/>
          <w:bCs/>
          <w:color w:val="1F3A5F"/>
          <w:sz w:val="21"/>
          <w:szCs w:val="21"/>
        </w:rPr>
        <w:t xml:space="preserve">Stand heute / Wettbewerb. </w:t>
      </w:r>
      <w:r>
        <w:rPr>
          <w:rFonts w:ascii="Calibri" w:cs="Calibri" w:eastAsia="Calibri" w:hAnsi="Calibri"/>
          <w:sz w:val="21"/>
          <w:szCs w:val="21"/>
        </w:rPr>
        <w:t xml:space="preserve">Baumkataster-Software (z. B. ArboPlus, Tree Consult) und Spielplatz-Prüfsoftware ohne Beweisschicht. Prüforganisationen (TÜV, Dekra) liefern PDF-Berichte.</w:t>
      </w:r>
    </w:p>
    <w:p>
      <w:pPr>
        <w:pStyle w:val="Heading3"/>
        <w:keepNext/>
        <w:spacing w:after="100" w:before="220"/>
      </w:pPr>
      <w:r>
        <w:t xml:space="preserve">Potenzielle Kunden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2000"/>
        <w:gridCol w:w="2700"/>
        <w:gridCol w:w="2238"/>
      </w:tblGrid>
      <w:tr>
        <w:trPr>
          <w:cantSplit/>
          <w:tblHeader/>
        </w:trPr>
        <w:tc>
          <w:tcPr>
            <w:tcW w:type="dxa" w:w="27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Organisation</w:t>
            </w:r>
          </w:p>
        </w:tc>
        <w:tc>
          <w:tcPr>
            <w:tcW w:type="dxa" w:w="20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Typ / Sitz</w:t>
            </w:r>
          </w:p>
        </w:tc>
        <w:tc>
          <w:tcPr>
            <w:tcW w:type="dxa" w:w="27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Zielrolle (Ansprechpartner)</w:t>
            </w:r>
          </w:p>
        </w:tc>
        <w:tc>
          <w:tcPr>
            <w:tcW w:type="dxa" w:w="2238"/>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Web / Zugang</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GVV Kommunalversicherung</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Kommunalversicherer, Köln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Schaden Haftpflicht; Schadenverhütung</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gvv.de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Versicherungskammer Bayern (Kommunalgeschäft)</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Kommunalversicherer, München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Kommunale Kunden; Schadenverhütung</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vkb.de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Kommunaler Schadenausgleich (KSA)</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Kommunaler Versicherer, Berlin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Schaden; Beratung</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ksa.de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Deutscher Städtetag</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Kommunaler Spitzenverband, Berlin/Köln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Dezernat Recht; Digitalisierung</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staedtetag.de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Deutscher Städte- und Gemeindebund (DStGB)</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Kommunaler Spitzenverband, Berlin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Referat Recht/Versicherung; Digitalisierung</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dstgb.de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Deutscher Landkreistag</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Kommunaler Spitzenverband, Berlin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Dezernat Straßen/Verkehr</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landkreistag.de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KGSt</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Kommunale Beratungseinrichtung, Köln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Programmbereich Digitalisierung; Grünflächen</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kgst.de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FLL Forschungsgesellschaft Landschaftsentwicklung Landschaftsbau</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Regelwerksgeber Baumkontrolle, Bonn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Geschäftsführung; Regelwerksausschuss Baumkontrolle</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fll.de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Die Autobahn GmbH des Bundes</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Straßenbaulastträger, Berlin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Betrieb und Verkehr; Digitalisierung</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autobahn.de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Straßen.NRW</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Landesbetrieb, Gelsenkirchen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Betriebsdienst; Straßenkontrolle</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strassen.nrw.de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Hessen Mobil</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Landesbetrieb, Wiesbaden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Betriebsdienst</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mobil.hessen.de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Grün Berlin</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Landeseigene Grünflächengesellschaft, Berlin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Parkmanagement; Verkehrssicherung</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gruen-berlin.de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AKDB</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Kommunales IT-Haus, München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Produktmanagement Fachverfahren</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akdb.de</w:t>
            </w:r>
          </w:p>
        </w:tc>
      </w:tr>
    </w:tbl>
    <w:p>
      <w:pPr>
        <w:spacing w:after="80"/>
      </w:pPr>
    </w:p>
    <w:p>
      <w:pPr>
        <w:pStyle w:val="Heading3"/>
        <w:keepNext/>
        <w:spacing w:after="100" w:before="220"/>
      </w:pPr>
      <w:r>
        <w:t xml:space="preserve">Multiplikatoren und Zugang</w:t>
      </w:r>
    </w:p>
    <w:p>
      <w:pPr>
        <w:pStyle w:val="ListParagraph"/>
        <w:numPr>
          <w:ilvl w:val="0"/>
          <w:numId w:val="2"/>
        </w:numPr>
        <w:spacing w:after="60" w:line="276"/>
      </w:pPr>
      <w:r>
        <w:rPr>
          <w:rFonts w:ascii="Calibri" w:cs="Calibri" w:eastAsia="Calibri" w:hAnsi="Calibri"/>
          <w:sz w:val="21"/>
          <w:szCs w:val="21"/>
        </w:rPr>
        <w:t xml:space="preserve">Kommunalversicherer sind der Hebel: sie tragen den Schaden und können Nachweisstandards in Bedingungen schreiben.</w:t>
      </w:r>
    </w:p>
    <w:p>
      <w:pPr>
        <w:pStyle w:val="ListParagraph"/>
        <w:numPr>
          <w:ilvl w:val="0"/>
          <w:numId w:val="2"/>
        </w:numPr>
        <w:spacing w:after="60" w:line="276"/>
      </w:pPr>
      <w:r>
        <w:rPr>
          <w:rFonts w:ascii="Calibri" w:cs="Calibri" w:eastAsia="Calibri" w:hAnsi="Calibri"/>
          <w:sz w:val="21"/>
          <w:szCs w:val="21"/>
        </w:rPr>
        <w:t xml:space="preserve">Kommunale Rechenzentren (AKDB, ekom21, KDO) bringen Lösungen in tausende Verwaltungen.</w:t>
      </w:r>
    </w:p>
    <w:p>
      <w:pPr>
        <w:pStyle w:val="ListParagraph"/>
        <w:numPr>
          <w:ilvl w:val="0"/>
          <w:numId w:val="2"/>
        </w:numPr>
        <w:spacing w:after="60" w:line="276"/>
      </w:pPr>
      <w:r>
        <w:rPr>
          <w:rFonts w:ascii="Calibri" w:cs="Calibri" w:eastAsia="Calibri" w:hAnsi="Calibri"/>
          <w:sz w:val="21"/>
          <w:szCs w:val="21"/>
        </w:rPr>
        <w:t xml:space="preserve">Messe KOMMUNALE (Nürnberg), GaLaBau (Nürnberg), Deutsche Baumpflegetage (Augsburg).</w:t>
      </w:r>
    </w:p>
    <w:p>
      <w:pPr>
        <w:pStyle w:val="Heading3"/>
        <w:keepNext/>
        <w:spacing w:after="100" w:before="220"/>
      </w:pPr>
      <w:r>
        <w:t xml:space="preserve">Empfohlener Einstieg</w:t>
      </w:r>
    </w:p>
    <w:p>
      <w:pPr>
        <w:pStyle w:val="ListParagraph"/>
        <w:numPr>
          <w:ilvl w:val="0"/>
          <w:numId w:val="2"/>
        </w:numPr>
        <w:spacing w:after="60" w:line="276"/>
      </w:pPr>
      <w:r>
        <w:rPr>
          <w:rFonts w:ascii="Calibri" w:cs="Calibri" w:eastAsia="Calibri" w:hAnsi="Calibri"/>
          <w:sz w:val="21"/>
          <w:szCs w:val="21"/>
        </w:rPr>
        <w:t xml:space="preserve">Gemeinsames Pilotprojekt mit GVV und drei Mitgliedskommunen zur Baumkontrolle.</w:t>
      </w:r>
    </w:p>
    <w:p>
      <w:pPr>
        <w:pStyle w:val="Heading2"/>
        <w:keepNext/>
        <w:spacing w:after="140" w:before="300"/>
      </w:pPr>
      <w:r>
        <w:t xml:space="preserve">E3 Reinigung und Facility Management (SLA-Nachweis)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928"/>
        <w:gridCol w:w="1928"/>
        <w:gridCol w:w="1928"/>
        <w:gridCol w:w="1927"/>
        <w:gridCol w:w="1927"/>
      </w:tblGrid>
      <w:tr>
        <w:trPr>
          <w:cantSplit/>
          <w:tblHeader w:val="false"/>
        </w:trPr>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Volumen</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Schmerz (1–5)</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Wettbewerb</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Nähe zur App</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Priorität</w:t>
            </w:r>
          </w:p>
        </w:tc>
      </w:tr>
      <w:tr>
        <w:trPr>
          <w:cantSplit/>
        </w:trPr>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hoch</w:t>
            </w:r>
          </w:p>
        </w:tc>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3</w:t>
            </w:r>
          </w:p>
        </w:tc>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mittel</w:t>
            </w:r>
          </w:p>
        </w:tc>
        <w:tc>
          <w:tcPr>
            <w:tcW w:type="dxa" w:w="1927"/>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hoch</w:t>
            </w:r>
          </w:p>
        </w:tc>
        <w:tc>
          <w:tcPr>
            <w:tcW w:type="dxa" w:w="1927"/>
            <w:shd w:fill="FFF2CC"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8"/>
                <w:szCs w:val="18"/>
              </w:rPr>
              <w:t xml:space="preserve">B – zweite Welle</w:t>
            </w:r>
          </w:p>
        </w:tc>
      </w:tr>
    </w:tbl>
    <w:p>
      <w:pPr>
        <w:spacing w:after="100"/>
      </w:pPr>
    </w:p>
    <w:p>
      <w:pPr>
        <w:spacing w:after="100" w:line="276"/>
      </w:pPr>
      <w:r>
        <w:rPr>
          <w:rFonts w:ascii="Calibri" w:cs="Calibri" w:eastAsia="Calibri" w:hAnsi="Calibri"/>
          <w:b/>
          <w:bCs/>
          <w:color w:val="1F3A5F"/>
          <w:sz w:val="21"/>
          <w:szCs w:val="21"/>
        </w:rPr>
        <w:t xml:space="preserve">Bedarf. </w:t>
      </w:r>
      <w:r>
        <w:rPr>
          <w:rFonts w:ascii="Calibri" w:cs="Calibri" w:eastAsia="Calibri" w:hAnsi="Calibri"/>
          <w:sz w:val="21"/>
          <w:szCs w:val="21"/>
        </w:rPr>
        <w:t xml:space="preserve">Vergütung im Facility Management hängt an Leistungsnachweisen. Auftraggeber kürzen Rechnungen bei Mängelrügen, Dienstleister können erbrachte Leistung nicht belegen. Bei Reklamationen (Verschmutzung, Schäden durch Reinigungsteams) fehlt der Zustand vor der Reinigung.</w:t>
      </w:r>
    </w:p>
    <w:p>
      <w:pPr>
        <w:spacing w:after="100" w:line="276"/>
      </w:pPr>
      <w:r>
        <w:rPr>
          <w:rFonts w:ascii="Calibri" w:cs="Calibri" w:eastAsia="Calibri" w:hAnsi="Calibri"/>
          <w:b/>
          <w:bCs/>
          <w:color w:val="1F3A5F"/>
          <w:sz w:val="21"/>
          <w:szCs w:val="21"/>
        </w:rPr>
        <w:t xml:space="preserve">Wer bezahlt. </w:t>
      </w:r>
      <w:r>
        <w:rPr>
          <w:rFonts w:ascii="Calibri" w:cs="Calibri" w:eastAsia="Calibri" w:hAnsi="Calibri"/>
          <w:sz w:val="21"/>
          <w:szCs w:val="21"/>
        </w:rPr>
        <w:t xml:space="preserve">FM-Dienstleister, Auftraggeber mit großem Flächenbestand (Flughäfen, Bahn, Kliniken, Behörden).</w:t>
      </w:r>
    </w:p>
    <w:p>
      <w:pPr>
        <w:spacing w:after="100" w:line="276"/>
      </w:pPr>
      <w:r>
        <w:rPr>
          <w:rFonts w:ascii="Calibri" w:cs="Calibri" w:eastAsia="Calibri" w:hAnsi="Calibri"/>
          <w:b/>
          <w:bCs/>
          <w:color w:val="1F3A5F"/>
          <w:sz w:val="21"/>
          <w:szCs w:val="21"/>
        </w:rPr>
        <w:t xml:space="preserve">Auslöser. </w:t>
      </w:r>
      <w:r>
        <w:rPr>
          <w:rFonts w:ascii="Calibri" w:cs="Calibri" w:eastAsia="Calibri" w:hAnsi="Calibri"/>
          <w:sz w:val="21"/>
          <w:szCs w:val="21"/>
        </w:rPr>
        <w:t xml:space="preserve">Ausschreibungen mit Leistungsnachweispflicht, GEFMA-Richtlinien, Streit um Rechnungskürzungen.</w:t>
      </w:r>
    </w:p>
    <w:p>
      <w:pPr>
        <w:spacing w:after="100" w:line="276"/>
      </w:pPr>
      <w:r>
        <w:rPr>
          <w:rFonts w:ascii="Calibri" w:cs="Calibri" w:eastAsia="Calibri" w:hAnsi="Calibri"/>
          <w:b/>
          <w:bCs/>
          <w:color w:val="1F3A5F"/>
          <w:sz w:val="21"/>
          <w:szCs w:val="21"/>
        </w:rPr>
        <w:t xml:space="preserve">Stand heute / Wettbewerb. </w:t>
      </w:r>
      <w:r>
        <w:rPr>
          <w:rFonts w:ascii="Calibri" w:cs="Calibri" w:eastAsia="Calibri" w:hAnsi="Calibri"/>
          <w:sz w:val="21"/>
          <w:szCs w:val="21"/>
        </w:rPr>
        <w:t xml:space="preserve">CAFM-Systeme und Checklisten-Apps ohne Beweiswert.</w:t>
      </w:r>
    </w:p>
    <w:p>
      <w:pPr>
        <w:pStyle w:val="Heading3"/>
        <w:keepNext/>
        <w:spacing w:after="100" w:before="220"/>
      </w:pPr>
      <w:r>
        <w:t xml:space="preserve">Potenzielle Kunden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2000"/>
        <w:gridCol w:w="2700"/>
        <w:gridCol w:w="2238"/>
      </w:tblGrid>
      <w:tr>
        <w:trPr>
          <w:cantSplit/>
          <w:tblHeader/>
        </w:trPr>
        <w:tc>
          <w:tcPr>
            <w:tcW w:type="dxa" w:w="27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Organisation</w:t>
            </w:r>
          </w:p>
        </w:tc>
        <w:tc>
          <w:tcPr>
            <w:tcW w:type="dxa" w:w="20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Typ / Sitz</w:t>
            </w:r>
          </w:p>
        </w:tc>
        <w:tc>
          <w:tcPr>
            <w:tcW w:type="dxa" w:w="27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Zielrolle (Ansprechpartner)</w:t>
            </w:r>
          </w:p>
        </w:tc>
        <w:tc>
          <w:tcPr>
            <w:tcW w:type="dxa" w:w="2238"/>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Web / Zugang</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Strabag Property and Facility Services</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FM-Dienstleister, Frankfurt</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Operations; Digitalisierung</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strabag-pfs.de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Sodexo Deutschland</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FM-Dienstleister, Rüsselsheim</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Facility Management Services</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sodexo.de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Gegenbauer (Apleona)</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Gebäudedienstleister, Berlin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Operations</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apleona.com</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GEFMA Deutscher Verband für Facility Management</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Verband, Bonn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Arbeitskreis Digitalisierung; Richtlinien</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gefma.de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Fraport (Auftraggeberseite)</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Flughafenbetreiber, Frankfurt</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Facility Management; Einkauf Dienstleistungen</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fraport.com</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DB InfraGO / DB Services</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Bahn, Frankfurt/Berlin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Reinigung Bahnhöfe; Qualitätsmanagement</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deutschebahn.com</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Charité CFM Facility Management</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Klinik-FM, Berlin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Geschäftsführung; Qualität</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cfm-berlin.de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Bundesanstalt für Immobilienaufgaben (BImA)</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Öffentlicher Auftraggeber, Bonn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Facility Management</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bundesimmobilien.de</w:t>
            </w:r>
          </w:p>
        </w:tc>
      </w:tr>
    </w:tbl>
    <w:p>
      <w:pPr>
        <w:spacing w:after="80"/>
      </w:pPr>
    </w:p>
    <w:p>
      <w:pPr>
        <w:pStyle w:val="Heading3"/>
        <w:keepNext/>
        <w:spacing w:after="100" w:before="220"/>
      </w:pPr>
      <w:r>
        <w:t xml:space="preserve">Multiplikatoren und Zugang</w:t>
      </w:r>
    </w:p>
    <w:p>
      <w:pPr>
        <w:pStyle w:val="ListParagraph"/>
        <w:numPr>
          <w:ilvl w:val="0"/>
          <w:numId w:val="2"/>
        </w:numPr>
        <w:spacing w:after="60" w:line="276"/>
      </w:pPr>
      <w:r>
        <w:rPr>
          <w:rFonts w:ascii="Calibri" w:cs="Calibri" w:eastAsia="Calibri" w:hAnsi="Calibri"/>
          <w:sz w:val="21"/>
          <w:szCs w:val="21"/>
        </w:rPr>
        <w:t xml:space="preserve">GEFMA-Richtlinie als Standardisierungsweg.</w:t>
      </w:r>
    </w:p>
    <w:p>
      <w:pPr>
        <w:pStyle w:val="ListParagraph"/>
        <w:numPr>
          <w:ilvl w:val="0"/>
          <w:numId w:val="2"/>
        </w:numPr>
        <w:spacing w:after="60" w:line="276"/>
      </w:pPr>
      <w:r>
        <w:rPr>
          <w:rFonts w:ascii="Calibri" w:cs="Calibri" w:eastAsia="Calibri" w:hAnsi="Calibri"/>
          <w:sz w:val="21"/>
          <w:szCs w:val="21"/>
        </w:rPr>
        <w:t xml:space="preserve">Große Auftraggeber schreiben Nachweisformat in Ausschreibungen vor.</w:t>
      </w:r>
    </w:p>
    <w:p>
      <w:pPr>
        <w:pStyle w:val="Heading3"/>
        <w:keepNext/>
        <w:spacing w:after="100" w:before="220"/>
      </w:pPr>
      <w:r>
        <w:t xml:space="preserve">Empfohlener Einstieg</w:t>
      </w:r>
    </w:p>
    <w:p>
      <w:pPr>
        <w:pStyle w:val="ListParagraph"/>
        <w:numPr>
          <w:ilvl w:val="0"/>
          <w:numId w:val="2"/>
        </w:numPr>
        <w:spacing w:after="60" w:line="276"/>
      </w:pPr>
      <w:r>
        <w:rPr>
          <w:rFonts w:ascii="Calibri" w:cs="Calibri" w:eastAsia="Calibri" w:hAnsi="Calibri"/>
          <w:sz w:val="21"/>
          <w:szCs w:val="21"/>
        </w:rPr>
        <w:t xml:space="preserve">Auftraggeberseite zuerst (Fraport, BImA): wer zahlt, bestimmt das Nachweisformat.</w:t>
      </w:r>
    </w:p>
    <w:p>
      <w:pPr>
        <w:pStyle w:val="Heading2"/>
        <w:keepNext/>
        <w:spacing w:after="140" w:before="300"/>
      </w:pPr>
      <w:r>
        <w:t xml:space="preserve">E4 Wachschutz und Schädlingsbekämpfung (Audit-Nachweise)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928"/>
        <w:gridCol w:w="1928"/>
        <w:gridCol w:w="1928"/>
        <w:gridCol w:w="1927"/>
        <w:gridCol w:w="1927"/>
      </w:tblGrid>
      <w:tr>
        <w:trPr>
          <w:cantSplit/>
          <w:tblHeader w:val="false"/>
        </w:trPr>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Volumen</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Schmerz (1–5)</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Wettbewerb</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Nähe zur App</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Priorität</w:t>
            </w:r>
          </w:p>
        </w:tc>
      </w:tr>
      <w:tr>
        <w:trPr>
          <w:cantSplit/>
        </w:trPr>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mittel</w:t>
            </w:r>
          </w:p>
        </w:tc>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3</w:t>
            </w:r>
          </w:p>
        </w:tc>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mittel</w:t>
            </w:r>
          </w:p>
        </w:tc>
        <w:tc>
          <w:tcPr>
            <w:tcW w:type="dxa" w:w="1927"/>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mittel</w:t>
            </w:r>
          </w:p>
        </w:tc>
        <w:tc>
          <w:tcPr>
            <w:tcW w:type="dxa" w:w="1927"/>
            <w:shd w:fill="F4F4F4"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8"/>
                <w:szCs w:val="18"/>
              </w:rPr>
              <w:t xml:space="preserve">C – beobachten / opportunistisch</w:t>
            </w:r>
          </w:p>
        </w:tc>
      </w:tr>
    </w:tbl>
    <w:p>
      <w:pPr>
        <w:spacing w:after="100"/>
      </w:pPr>
    </w:p>
    <w:p>
      <w:pPr>
        <w:spacing w:after="100" w:line="276"/>
      </w:pPr>
      <w:r>
        <w:rPr>
          <w:rFonts w:ascii="Calibri" w:cs="Calibri" w:eastAsia="Calibri" w:hAnsi="Calibri"/>
          <w:b/>
          <w:bCs/>
          <w:color w:val="1F3A5F"/>
          <w:sz w:val="21"/>
          <w:szCs w:val="21"/>
        </w:rPr>
        <w:t xml:space="preserve">Bedarf. </w:t>
      </w:r>
      <w:r>
        <w:rPr>
          <w:rFonts w:ascii="Calibri" w:cs="Calibri" w:eastAsia="Calibri" w:hAnsi="Calibri"/>
          <w:sz w:val="21"/>
          <w:szCs w:val="21"/>
        </w:rPr>
        <w:t xml:space="preserve">Sicherheitsdienste dokumentieren Rundgänge und Vorfälle, Schädlingsbekämpfer Köderkontrollen für Lebensmittel-Audits (IFS, BRC, HACCP). Auditoren verlangen lückenlose, fälschungssichere Nachweise. Vorfallfotos (Einbruch, Vandalismus) werden an Versicherer und Polizei weitergegeben.</w:t>
      </w:r>
    </w:p>
    <w:p>
      <w:pPr>
        <w:spacing w:after="100" w:line="276"/>
      </w:pPr>
      <w:r>
        <w:rPr>
          <w:rFonts w:ascii="Calibri" w:cs="Calibri" w:eastAsia="Calibri" w:hAnsi="Calibri"/>
          <w:b/>
          <w:bCs/>
          <w:color w:val="1F3A5F"/>
          <w:sz w:val="21"/>
          <w:szCs w:val="21"/>
        </w:rPr>
        <w:t xml:space="preserve">Wer bezahlt. </w:t>
      </w:r>
      <w:r>
        <w:rPr>
          <w:rFonts w:ascii="Calibri" w:cs="Calibri" w:eastAsia="Calibri" w:hAnsi="Calibri"/>
          <w:sz w:val="21"/>
          <w:szCs w:val="21"/>
        </w:rPr>
        <w:t xml:space="preserve">Sicherheitsdienstleister, Schädlingsbekämpfer, Lebensmittelhersteller (Auditpflicht), Zertifizierer.</w:t>
      </w:r>
    </w:p>
    <w:p>
      <w:pPr>
        <w:spacing w:after="100" w:line="276"/>
      </w:pPr>
      <w:r>
        <w:rPr>
          <w:rFonts w:ascii="Calibri" w:cs="Calibri" w:eastAsia="Calibri" w:hAnsi="Calibri"/>
          <w:b/>
          <w:bCs/>
          <w:color w:val="1F3A5F"/>
          <w:sz w:val="21"/>
          <w:szCs w:val="21"/>
        </w:rPr>
        <w:t xml:space="preserve">Auslöser. </w:t>
      </w:r>
      <w:r>
        <w:rPr>
          <w:rFonts w:ascii="Calibri" w:cs="Calibri" w:eastAsia="Calibri" w:hAnsi="Calibri"/>
          <w:sz w:val="21"/>
          <w:szCs w:val="21"/>
        </w:rPr>
        <w:t xml:space="preserve">Auditstandards, Haftung bei Sicherheitslücken, Versichererforderungen.</w:t>
      </w:r>
    </w:p>
    <w:p>
      <w:pPr>
        <w:spacing w:after="100" w:line="276"/>
      </w:pPr>
      <w:r>
        <w:rPr>
          <w:rFonts w:ascii="Calibri" w:cs="Calibri" w:eastAsia="Calibri" w:hAnsi="Calibri"/>
          <w:b/>
          <w:bCs/>
          <w:color w:val="1F3A5F"/>
          <w:sz w:val="21"/>
          <w:szCs w:val="21"/>
        </w:rPr>
        <w:t xml:space="preserve">Stand heute / Wettbewerb. </w:t>
      </w:r>
      <w:r>
        <w:rPr>
          <w:rFonts w:ascii="Calibri" w:cs="Calibri" w:eastAsia="Calibri" w:hAnsi="Calibri"/>
          <w:sz w:val="21"/>
          <w:szCs w:val="21"/>
        </w:rPr>
        <w:t xml:space="preserve">Wächterkontrollsysteme mit NFC-Punkten belegen Anwesenheit, aber keinen Zustand. Schädlingsbekämpfer nutzen Monitoring-Software ohne Beweisschicht.</w:t>
      </w:r>
    </w:p>
    <w:p>
      <w:pPr>
        <w:pStyle w:val="Heading3"/>
        <w:keepNext/>
        <w:spacing w:after="100" w:before="220"/>
      </w:pPr>
      <w:r>
        <w:t xml:space="preserve">Potenzielle Kunden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2000"/>
        <w:gridCol w:w="2700"/>
        <w:gridCol w:w="2238"/>
      </w:tblGrid>
      <w:tr>
        <w:trPr>
          <w:cantSplit/>
          <w:tblHeader/>
        </w:trPr>
        <w:tc>
          <w:tcPr>
            <w:tcW w:type="dxa" w:w="27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Organisation</w:t>
            </w:r>
          </w:p>
        </w:tc>
        <w:tc>
          <w:tcPr>
            <w:tcW w:type="dxa" w:w="20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Typ / Sitz</w:t>
            </w:r>
          </w:p>
        </w:tc>
        <w:tc>
          <w:tcPr>
            <w:tcW w:type="dxa" w:w="27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Zielrolle (Ansprechpartner)</w:t>
            </w:r>
          </w:p>
        </w:tc>
        <w:tc>
          <w:tcPr>
            <w:tcW w:type="dxa" w:w="2238"/>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Web / Zugang</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Securitas Deutschland</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Sicherheitsdienstleister, Düsseldorf</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Operations; Digital Solutions</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securitas.de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KÖTTER Services</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Sicherheitsdienstleister, Essen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Security; IT</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koetter.de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WISAG Sicherheit &amp; Service</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Sicherheitsdienstleister, Frankfurt</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Operations</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wisag.de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BDSW Bundesverband der Sicherheitswirtschaft</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Verband, Bad Homburg</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Geschäftsführung; Fachausschuss Technik</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bdsw.de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Rentokil Initial Deutschland</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Schädlingsbekämpfung, bundesweit</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Operations; Qualitätsmanagement</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rentokil.com/de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Anticimex Deutschland</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Schädlingsbekämpfung, Hamburg</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Operations; Digital</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anticimex.de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Deutscher Schädlingsbekämpfer-Verband (DSV)</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Verband</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Geschäftsführung; Fachausschuss</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dsvonline.de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IFS Management</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Auditstandard Lebensmittel, Berlin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Standards Development</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ifs-certification.com</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DQS</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Zertifizierer, Frankfurt</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Auditoren Lebensmittel/Sicherheit</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dqsglobal.com</w:t>
            </w:r>
          </w:p>
        </w:tc>
      </w:tr>
    </w:tbl>
    <w:p>
      <w:pPr>
        <w:spacing w:after="80"/>
      </w:pPr>
    </w:p>
    <w:p>
      <w:pPr>
        <w:pStyle w:val="Heading3"/>
        <w:keepNext/>
        <w:spacing w:after="100" w:before="220"/>
      </w:pPr>
      <w:r>
        <w:t xml:space="preserve">Multiplikatoren und Zugang</w:t>
      </w:r>
    </w:p>
    <w:p>
      <w:pPr>
        <w:pStyle w:val="ListParagraph"/>
        <w:numPr>
          <w:ilvl w:val="0"/>
          <w:numId w:val="2"/>
        </w:numPr>
        <w:spacing w:after="60" w:line="276"/>
      </w:pPr>
      <w:r>
        <w:rPr>
          <w:rFonts w:ascii="Calibri" w:cs="Calibri" w:eastAsia="Calibri" w:hAnsi="Calibri"/>
          <w:sz w:val="21"/>
          <w:szCs w:val="21"/>
        </w:rPr>
        <w:t xml:space="preserve">Auditstandards (IFS) können Beweisfotos als Anforderung aufnehmen.</w:t>
      </w:r>
    </w:p>
    <w:p>
      <w:pPr>
        <w:pStyle w:val="ListParagraph"/>
        <w:numPr>
          <w:ilvl w:val="0"/>
          <w:numId w:val="2"/>
        </w:numPr>
        <w:spacing w:after="60" w:line="276"/>
      </w:pPr>
      <w:r>
        <w:rPr>
          <w:rFonts w:ascii="Calibri" w:cs="Calibri" w:eastAsia="Calibri" w:hAnsi="Calibri"/>
          <w:sz w:val="21"/>
          <w:szCs w:val="21"/>
        </w:rPr>
        <w:t xml:space="preserve">Messe Security Essen.</w:t>
      </w:r>
    </w:p>
    <w:p>
      <w:pPr>
        <w:pStyle w:val="Heading3"/>
        <w:keepNext/>
        <w:spacing w:after="100" w:before="220"/>
      </w:pPr>
      <w:r>
        <w:t xml:space="preserve">Empfohlener Einstieg</w:t>
      </w:r>
    </w:p>
    <w:p>
      <w:pPr>
        <w:pStyle w:val="ListParagraph"/>
        <w:numPr>
          <w:ilvl w:val="0"/>
          <w:numId w:val="2"/>
        </w:numPr>
        <w:spacing w:after="60" w:line="276"/>
      </w:pPr>
      <w:r>
        <w:rPr>
          <w:rFonts w:ascii="Calibri" w:cs="Calibri" w:eastAsia="Calibri" w:hAnsi="Calibri"/>
          <w:sz w:val="21"/>
          <w:szCs w:val="21"/>
        </w:rPr>
        <w:t xml:space="preserve">Schädlingsbekämpfung in Lebensmittelbetrieben: hoher Auditdruck, überschaubarer Anbieterkreis.</w:t>
      </w:r>
    </w:p>
    <w:p>
      <w:pPr>
        <w:pStyle w:val="Heading2"/>
        <w:keepNext/>
        <w:spacing w:after="140" w:before="300"/>
      </w:pPr>
      <w:r>
        <w:t xml:space="preserve">E5 Arbeitsschutz und Unfalldokumentation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928"/>
        <w:gridCol w:w="1928"/>
        <w:gridCol w:w="1928"/>
        <w:gridCol w:w="1927"/>
        <w:gridCol w:w="1927"/>
      </w:tblGrid>
      <w:tr>
        <w:trPr>
          <w:cantSplit/>
          <w:tblHeader w:val="false"/>
        </w:trPr>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Volumen</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Schmerz (1–5)</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Wettbewerb</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Nähe zur App</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Priorität</w:t>
            </w:r>
          </w:p>
        </w:tc>
      </w:tr>
      <w:tr>
        <w:trPr>
          <w:cantSplit/>
        </w:trPr>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hoch</w:t>
            </w:r>
          </w:p>
        </w:tc>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3</w:t>
            </w:r>
          </w:p>
        </w:tc>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mittel</w:t>
            </w:r>
          </w:p>
        </w:tc>
        <w:tc>
          <w:tcPr>
            <w:tcW w:type="dxa" w:w="1927"/>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sehr hoch</w:t>
            </w:r>
          </w:p>
        </w:tc>
        <w:tc>
          <w:tcPr>
            <w:tcW w:type="dxa" w:w="1927"/>
            <w:shd w:fill="FFF2CC"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8"/>
                <w:szCs w:val="18"/>
              </w:rPr>
              <w:t xml:space="preserve">B – zweite Welle</w:t>
            </w:r>
          </w:p>
        </w:tc>
      </w:tr>
    </w:tbl>
    <w:p>
      <w:pPr>
        <w:spacing w:after="100"/>
      </w:pPr>
    </w:p>
    <w:p>
      <w:pPr>
        <w:spacing w:after="100" w:line="276"/>
      </w:pPr>
      <w:r>
        <w:rPr>
          <w:rFonts w:ascii="Calibri" w:cs="Calibri" w:eastAsia="Calibri" w:hAnsi="Calibri"/>
          <w:b/>
          <w:bCs/>
          <w:color w:val="1F3A5F"/>
          <w:sz w:val="21"/>
          <w:szCs w:val="21"/>
        </w:rPr>
        <w:t xml:space="preserve">Bedarf. </w:t>
      </w:r>
      <w:r>
        <w:rPr>
          <w:rFonts w:ascii="Calibri" w:cs="Calibri" w:eastAsia="Calibri" w:hAnsi="Calibri"/>
          <w:sz w:val="21"/>
          <w:szCs w:val="21"/>
        </w:rPr>
        <w:t xml:space="preserve">Unfälle auf Baustellen und in Betrieben führen zu Regress der Berufsgenossenschaften und strafrechtlichen Ermittlungen. Sicherheits- und Gesundheitsschutzkoordinatoren (SiGeKo) dokumentieren Begehungen, Gefährdungsbeurteilungen und Mängel. Der Zustand nach dem Unfall verändert sich in Minuten.</w:t>
      </w:r>
    </w:p>
    <w:p>
      <w:pPr>
        <w:spacing w:after="100" w:line="276"/>
      </w:pPr>
      <w:r>
        <w:rPr>
          <w:rFonts w:ascii="Calibri" w:cs="Calibri" w:eastAsia="Calibri" w:hAnsi="Calibri"/>
          <w:b/>
          <w:bCs/>
          <w:color w:val="1F3A5F"/>
          <w:sz w:val="21"/>
          <w:szCs w:val="21"/>
        </w:rPr>
        <w:t xml:space="preserve">Wer bezahlt. </w:t>
      </w:r>
      <w:r>
        <w:rPr>
          <w:rFonts w:ascii="Calibri" w:cs="Calibri" w:eastAsia="Calibri" w:hAnsi="Calibri"/>
          <w:sz w:val="21"/>
          <w:szCs w:val="21"/>
        </w:rPr>
        <w:t xml:space="preserve">Bauunternehmen (HSE-Abteilungen), SiGeKo-Büros, Berufsgenossenschaften, Prüforganisationen, Arbeitsschutzbehörden.</w:t>
      </w:r>
    </w:p>
    <w:p>
      <w:pPr>
        <w:spacing w:after="100" w:line="276"/>
      </w:pPr>
      <w:r>
        <w:rPr>
          <w:rFonts w:ascii="Calibri" w:cs="Calibri" w:eastAsia="Calibri" w:hAnsi="Calibri"/>
          <w:b/>
          <w:bCs/>
          <w:color w:val="1F3A5F"/>
          <w:sz w:val="21"/>
          <w:szCs w:val="21"/>
        </w:rPr>
        <w:t xml:space="preserve">Auslöser. </w:t>
      </w:r>
      <w:r>
        <w:rPr>
          <w:rFonts w:ascii="Calibri" w:cs="Calibri" w:eastAsia="Calibri" w:hAnsi="Calibri"/>
          <w:sz w:val="21"/>
          <w:szCs w:val="21"/>
        </w:rPr>
        <w:t xml:space="preserve">DGUV-Vorschriften, Baustellenverordnung, Regressforderungen, Strafverfahren nach Unfällen.</w:t>
      </w:r>
    </w:p>
    <w:p>
      <w:pPr>
        <w:spacing w:after="100" w:line="276"/>
      </w:pPr>
      <w:r>
        <w:rPr>
          <w:rFonts w:ascii="Calibri" w:cs="Calibri" w:eastAsia="Calibri" w:hAnsi="Calibri"/>
          <w:b/>
          <w:bCs/>
          <w:color w:val="1F3A5F"/>
          <w:sz w:val="21"/>
          <w:szCs w:val="21"/>
        </w:rPr>
        <w:t xml:space="preserve">Stand heute / Wettbewerb. </w:t>
      </w:r>
      <w:r>
        <w:rPr>
          <w:rFonts w:ascii="Calibri" w:cs="Calibri" w:eastAsia="Calibri" w:hAnsi="Calibri"/>
          <w:sz w:val="21"/>
          <w:szCs w:val="21"/>
        </w:rPr>
        <w:t xml:space="preserve">Arbeitsschutz-Software (z. B. iManSys, Quentic) für Prozesse, ohne Beweisschicht für Fotos.</w:t>
      </w:r>
    </w:p>
    <w:p>
      <w:pPr>
        <w:pStyle w:val="Heading3"/>
        <w:keepNext/>
        <w:spacing w:after="100" w:before="220"/>
      </w:pPr>
      <w:r>
        <w:t xml:space="preserve">Potenzielle Kunden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2000"/>
        <w:gridCol w:w="2700"/>
        <w:gridCol w:w="2238"/>
      </w:tblGrid>
      <w:tr>
        <w:trPr>
          <w:cantSplit/>
          <w:tblHeader/>
        </w:trPr>
        <w:tc>
          <w:tcPr>
            <w:tcW w:type="dxa" w:w="27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Organisation</w:t>
            </w:r>
          </w:p>
        </w:tc>
        <w:tc>
          <w:tcPr>
            <w:tcW w:type="dxa" w:w="20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Typ / Sitz</w:t>
            </w:r>
          </w:p>
        </w:tc>
        <w:tc>
          <w:tcPr>
            <w:tcW w:type="dxa" w:w="27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Zielrolle (Ansprechpartner)</w:t>
            </w:r>
          </w:p>
        </w:tc>
        <w:tc>
          <w:tcPr>
            <w:tcW w:type="dxa" w:w="2238"/>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Web / Zugang</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BG BAU Berufsgenossenschaft der Bauwirtschaft</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Unfallversicherungsträger, Berlin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Prävention; Regress</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bgbau.de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BGHM Berufsgenossenschaft Holz und Metall</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Unfallversicherungsträger, Mainz</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Prävention</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bghm.de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BGHW Berufsgenossenschaft Handel und Warenlogistik</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Unfallversicherungsträger, Mannheim</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Prävention</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bghw.de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VBG</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Unfallversicherungsträger, Hamburg</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Prävention; Digitalisierung</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vbg.de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DGUV Deutsche Gesetzliche Unfallversicherung</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Spitzenverband, Berlin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Prävention; Institut für Arbeitsschutz (IFA)</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dguv.de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DEKRA Arbeitsschutz</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Prüforganisation, Stuttgart</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Produktmanagement Arbeitsschutz; SiGeKo-Services</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dekra.de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TÜV Rheinland Arbeitsschutz</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Prüforganisation, Köln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Arbeitsmedizin und Sicherheit</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tuv.com</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HSE-Abteilungen Hochtief, Züblin, Goldbeck</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Bauunternehmen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Leitung Arbeitssicherheit</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siehe B1</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Quentic (AMCS)</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Arbeitsschutz-Software, Berlin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Produktmanagement; Partner</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quentic.com</w:t>
            </w:r>
          </w:p>
        </w:tc>
      </w:tr>
    </w:tbl>
    <w:p>
      <w:pPr>
        <w:spacing w:after="80"/>
      </w:pPr>
    </w:p>
    <w:p>
      <w:pPr>
        <w:pStyle w:val="Heading3"/>
        <w:keepNext/>
        <w:spacing w:after="100" w:before="220"/>
      </w:pPr>
      <w:r>
        <w:t xml:space="preserve">Multiplikatoren und Zugang</w:t>
      </w:r>
    </w:p>
    <w:p>
      <w:pPr>
        <w:pStyle w:val="ListParagraph"/>
        <w:numPr>
          <w:ilvl w:val="0"/>
          <w:numId w:val="2"/>
        </w:numPr>
        <w:spacing w:after="60" w:line="276"/>
      </w:pPr>
      <w:r>
        <w:rPr>
          <w:rFonts w:ascii="Calibri" w:cs="Calibri" w:eastAsia="Calibri" w:hAnsi="Calibri"/>
          <w:sz w:val="21"/>
          <w:szCs w:val="21"/>
        </w:rPr>
        <w:t xml:space="preserve">Berufsgenossenschaften können Nachweisformate in Präventionsprogrammen empfehlen und fördern.</w:t>
      </w:r>
    </w:p>
    <w:p>
      <w:pPr>
        <w:pStyle w:val="ListParagraph"/>
        <w:numPr>
          <w:ilvl w:val="0"/>
          <w:numId w:val="2"/>
        </w:numPr>
        <w:spacing w:after="60" w:line="276"/>
      </w:pPr>
      <w:r>
        <w:rPr>
          <w:rFonts w:ascii="Calibri" w:cs="Calibri" w:eastAsia="Calibri" w:hAnsi="Calibri"/>
          <w:sz w:val="21"/>
          <w:szCs w:val="21"/>
        </w:rPr>
        <w:t xml:space="preserve">Messe A+A Düsseldorf.</w:t>
      </w:r>
    </w:p>
    <w:p>
      <w:pPr>
        <w:pStyle w:val="Heading3"/>
        <w:keepNext/>
        <w:spacing w:after="100" w:before="220"/>
      </w:pPr>
      <w:r>
        <w:t xml:space="preserve">Empfohlener Einstieg</w:t>
      </w:r>
    </w:p>
    <w:p>
      <w:pPr>
        <w:pStyle w:val="ListParagraph"/>
        <w:numPr>
          <w:ilvl w:val="0"/>
          <w:numId w:val="2"/>
        </w:numPr>
        <w:spacing w:after="60" w:line="276"/>
      </w:pPr>
      <w:r>
        <w:rPr>
          <w:rFonts w:ascii="Calibri" w:cs="Calibri" w:eastAsia="Calibri" w:hAnsi="Calibri"/>
          <w:sz w:val="21"/>
          <w:szCs w:val="21"/>
        </w:rPr>
        <w:t xml:space="preserve">Modul 'Unfalldokumentation' in der bestehenden Bau-App, Vertrieb über SiGeKo-Büros.</w:t>
      </w:r>
    </w:p>
    <w:p>
      <w:r>
        <w:br w:type="page"/>
      </w:r>
    </w:p>
    <w:p>
      <w:pPr>
        <w:pStyle w:val="Heading1"/>
        <w:keepNext/>
        <w:spacing w:after="200" w:before="360"/>
      </w:pPr>
      <w:r>
        <w:t xml:space="preserve">9. Geld gegen Foto: Staat, Energie, Landwirtschaft (Feld F)</w:t>
      </w:r>
    </w:p>
    <w:p>
      <w:pPr>
        <w:spacing w:after="120" w:before="0" w:line="276"/>
      </w:pPr>
      <w:r>
        <w:rPr>
          <w:rFonts w:ascii="Calibri" w:cs="Calibri" w:eastAsia="Calibri" w:hAnsi="Calibri"/>
          <w:sz w:val="21"/>
          <w:szCs w:val="21"/>
        </w:rPr>
        <w:t xml:space="preserve">Öffentliche Stellen und Versorger zahlen oder erstatten auf Basis von Fotos. Die EU verlangt bei Agrarzahlungen bereits geotaggte Fotos aus zugelassenen Apps. Wo eine Zahlstelle den Standard setzt, entsteht ein Markt ohne Vertriebskosten pro Kunde.</w:t>
      </w:r>
    </w:p>
    <w:p>
      <w:pPr>
        <w:pStyle w:val="Heading2"/>
        <w:keepNext/>
        <w:spacing w:after="140" w:before="300"/>
      </w:pPr>
      <w:r>
        <w:t xml:space="preserve">F1 Förderprogramme (Sanierung, Wärmepumpe, PV, Investitionsförderung)</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928"/>
        <w:gridCol w:w="1928"/>
        <w:gridCol w:w="1928"/>
        <w:gridCol w:w="1927"/>
        <w:gridCol w:w="1927"/>
      </w:tblGrid>
      <w:tr>
        <w:trPr>
          <w:cantSplit/>
          <w:tblHeader w:val="false"/>
        </w:trPr>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Volumen</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Schmerz (1–5)</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Wettbewerb</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Nähe zur App</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Priorität</w:t>
            </w:r>
          </w:p>
        </w:tc>
      </w:tr>
      <w:tr>
        <w:trPr>
          <w:cantSplit/>
        </w:trPr>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sehr hoch</w:t>
            </w:r>
          </w:p>
        </w:tc>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4</w:t>
            </w:r>
          </w:p>
        </w:tc>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niedrig</w:t>
            </w:r>
          </w:p>
        </w:tc>
        <w:tc>
          <w:tcPr>
            <w:tcW w:type="dxa" w:w="1927"/>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hoch</w:t>
            </w:r>
          </w:p>
        </w:tc>
        <w:tc>
          <w:tcPr>
            <w:tcW w:type="dxa" w:w="1927"/>
            <w:shd w:fill="D9EAD3"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8"/>
                <w:szCs w:val="18"/>
              </w:rPr>
              <w:t xml:space="preserve">A – sofort angehen</w:t>
            </w:r>
          </w:p>
        </w:tc>
      </w:tr>
    </w:tbl>
    <w:p>
      <w:pPr>
        <w:spacing w:after="100"/>
      </w:pPr>
    </w:p>
    <w:p>
      <w:pPr>
        <w:spacing w:after="100" w:line="276"/>
      </w:pPr>
      <w:r>
        <w:rPr>
          <w:rFonts w:ascii="Calibri" w:cs="Calibri" w:eastAsia="Calibri" w:hAnsi="Calibri"/>
          <w:b/>
          <w:bCs/>
          <w:color w:val="1F3A5F"/>
          <w:sz w:val="21"/>
          <w:szCs w:val="21"/>
        </w:rPr>
        <w:t xml:space="preserve">Bedarf. </w:t>
      </w:r>
      <w:r>
        <w:rPr>
          <w:rFonts w:ascii="Calibri" w:cs="Calibri" w:eastAsia="Calibri" w:hAnsi="Calibri"/>
          <w:sz w:val="21"/>
          <w:szCs w:val="21"/>
        </w:rPr>
        <w:t xml:space="preserve">KfW und BAFA zahlen Bundesförderung für effiziente Gebäude (BEG) gegen Fachunternehmererklärung und Nachweisfotos. Länderförderbanken, EU-Strukturfonds und Investitionszuschüsse funktionieren gleich. Prüfstellen haben keine Möglichkeit, Fotos auf Echtheit oder Zeitpunkt zu prüfen. Subventionsbetrug ist Straftatbestand, die Prüfer haften politisch.</w:t>
      </w:r>
    </w:p>
    <w:p>
      <w:pPr>
        <w:spacing w:after="100" w:line="276"/>
      </w:pPr>
      <w:r>
        <w:rPr>
          <w:rFonts w:ascii="Calibri" w:cs="Calibri" w:eastAsia="Calibri" w:hAnsi="Calibri"/>
          <w:b/>
          <w:bCs/>
          <w:color w:val="1F3A5F"/>
          <w:sz w:val="21"/>
          <w:szCs w:val="21"/>
        </w:rPr>
        <w:t xml:space="preserve">Wer bezahlt. </w:t>
      </w:r>
      <w:r>
        <w:rPr>
          <w:rFonts w:ascii="Calibri" w:cs="Calibri" w:eastAsia="Calibri" w:hAnsi="Calibri"/>
          <w:sz w:val="21"/>
          <w:szCs w:val="21"/>
        </w:rPr>
        <w:t xml:space="preserve">Förderbanken, Bewilligungsstellen, Energieberater-Netzwerke, Installateure mit Förderabwicklung, Fachverbände.</w:t>
      </w:r>
    </w:p>
    <w:p>
      <w:pPr>
        <w:spacing w:after="100" w:line="276"/>
      </w:pPr>
      <w:r>
        <w:rPr>
          <w:rFonts w:ascii="Calibri" w:cs="Calibri" w:eastAsia="Calibri" w:hAnsi="Calibri"/>
          <w:b/>
          <w:bCs/>
          <w:color w:val="1F3A5F"/>
          <w:sz w:val="21"/>
          <w:szCs w:val="21"/>
        </w:rPr>
        <w:t xml:space="preserve">Auslöser. </w:t>
      </w:r>
      <w:r>
        <w:rPr>
          <w:rFonts w:ascii="Calibri" w:cs="Calibri" w:eastAsia="Calibri" w:hAnsi="Calibri"/>
          <w:sz w:val="21"/>
          <w:szCs w:val="21"/>
        </w:rPr>
        <w:t xml:space="preserve">Fördervolumen im zweistelligen Milliardenbereich, Bundesrechnungshof-Kritik an Nachweisprüfung, Betrugsfälle bei Wärmepumpen- und PV-Förderung.</w:t>
      </w:r>
    </w:p>
    <w:p>
      <w:pPr>
        <w:spacing w:after="100" w:line="276"/>
      </w:pPr>
      <w:r>
        <w:rPr>
          <w:rFonts w:ascii="Calibri" w:cs="Calibri" w:eastAsia="Calibri" w:hAnsi="Calibri"/>
          <w:b/>
          <w:bCs/>
          <w:color w:val="1F3A5F"/>
          <w:sz w:val="21"/>
          <w:szCs w:val="21"/>
        </w:rPr>
        <w:t xml:space="preserve">Stand heute / Wettbewerb. </w:t>
      </w:r>
      <w:r>
        <w:rPr>
          <w:rFonts w:ascii="Calibri" w:cs="Calibri" w:eastAsia="Calibri" w:hAnsi="Calibri"/>
          <w:sz w:val="21"/>
          <w:szCs w:val="21"/>
        </w:rPr>
        <w:t xml:space="preserve">Keine spezialisierten Anbieter. Nachweisupload über Portale ohne Beweisschicht.</w:t>
      </w:r>
    </w:p>
    <w:p>
      <w:pPr>
        <w:pStyle w:val="Heading3"/>
        <w:keepNext/>
        <w:spacing w:after="100" w:before="220"/>
      </w:pPr>
      <w:r>
        <w:t xml:space="preserve">Potenzielle Kunden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2000"/>
        <w:gridCol w:w="2700"/>
        <w:gridCol w:w="2238"/>
      </w:tblGrid>
      <w:tr>
        <w:trPr>
          <w:cantSplit/>
          <w:tblHeader/>
        </w:trPr>
        <w:tc>
          <w:tcPr>
            <w:tcW w:type="dxa" w:w="27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Organisation</w:t>
            </w:r>
          </w:p>
        </w:tc>
        <w:tc>
          <w:tcPr>
            <w:tcW w:type="dxa" w:w="20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Typ / Sitz</w:t>
            </w:r>
          </w:p>
        </w:tc>
        <w:tc>
          <w:tcPr>
            <w:tcW w:type="dxa" w:w="27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Zielrolle (Ansprechpartner)</w:t>
            </w:r>
          </w:p>
        </w:tc>
        <w:tc>
          <w:tcPr>
            <w:tcW w:type="dxa" w:w="2238"/>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Web / Zugang</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KfW Bankengruppe</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Förderbank, Frankfurt</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Bereich Wohnen/BEG; Digitalisierung Zuschussportal</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kfw.de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BAFA Bundesamt für Wirtschaft und Ausfuhrkontrolle</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Bewilligungsstelle, Eschborn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Abteilung Energie (BEG Einzelmaßnahmen)</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bafa.de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dena Deutsche Energie-Agentur</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Bundesagentur, Berlin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Energieeffiziente Gebäude; Energieberater-Listen</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dena.de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GIH Bundesverband Gebäudeenergieberater</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Verband, Berlin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Geschäftsführung; Digitalisierung</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gih.de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Bundesverband Wärmepumpe (BWP)</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Verband, Berlin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Geschäftsführung; Förderung</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waermepumpe.de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Bundesverband Solarwirtschaft (BSW)</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Verband, Berlin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Geschäftsführung; Qualitätssicherung</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solarwirtschaft.de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ZVSHK Zentralverband Sanitär Heizung Klima</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Verband, Sankt Augustin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Technik; Digitalisierung</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zvshk.de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Enpal</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PV/Wärmepumpen-Installateur, Berlin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Operations; Förderabwicklung</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enpal.de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1KOMMA5°</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Installateur, Hamburg</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Operations; Product</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1komma5.com</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Thermondo</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Heizungsinstallateur, Berlin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Operations; Förderservice</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thermondo.de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NRW.BANK</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Landesförderbank, Düsseldorf</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Förderberatung; Verwendungsnachweisprüfung</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nrwbank.de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L-Bank</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Landesförderbank, Karlsruhe</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Wirtschaftsförderung; Prüfung</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l-bank.de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LfA Förderbank Bayern</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Landesförderbank, München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Prüfung/Verwendungsnachweis</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lfa.de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Investitionsbank Berlin (IBB)</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Landesförderbank, Berlin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Wirtschaftsförderung; Digitalisierung</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ibb.de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Sächsische Aufbaubank (SAB)</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Landesförderbank, Dresden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Verwendungsnachweis</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sab.sachsen.de</w:t>
            </w:r>
          </w:p>
        </w:tc>
      </w:tr>
    </w:tbl>
    <w:p>
      <w:pPr>
        <w:spacing w:after="80"/>
      </w:pPr>
    </w:p>
    <w:p>
      <w:pPr>
        <w:pStyle w:val="Heading3"/>
        <w:keepNext/>
        <w:spacing w:after="100" w:before="220"/>
      </w:pPr>
      <w:r>
        <w:t xml:space="preserve">Multiplikatoren und Zugang</w:t>
      </w:r>
    </w:p>
    <w:p>
      <w:pPr>
        <w:pStyle w:val="ListParagraph"/>
        <w:numPr>
          <w:ilvl w:val="0"/>
          <w:numId w:val="2"/>
        </w:numPr>
        <w:spacing w:after="60" w:line="276"/>
      </w:pPr>
      <w:r>
        <w:rPr>
          <w:rFonts w:ascii="Calibri" w:cs="Calibri" w:eastAsia="Calibri" w:hAnsi="Calibri"/>
          <w:sz w:val="21"/>
          <w:szCs w:val="21"/>
        </w:rPr>
        <w:t xml:space="preserve">Installateure mit eigener Förderabwicklung (Enpal, 1KOMMA5°, Thermondo) haben zehntausende Anträge pro Jahr.</w:t>
      </w:r>
    </w:p>
    <w:p>
      <w:pPr>
        <w:pStyle w:val="ListParagraph"/>
        <w:numPr>
          <w:ilvl w:val="0"/>
          <w:numId w:val="2"/>
        </w:numPr>
        <w:spacing w:after="60" w:line="276"/>
      </w:pPr>
      <w:r>
        <w:rPr>
          <w:rFonts w:ascii="Calibri" w:cs="Calibri" w:eastAsia="Calibri" w:hAnsi="Calibri"/>
          <w:sz w:val="21"/>
          <w:szCs w:val="21"/>
        </w:rPr>
        <w:t xml:space="preserve">Energieberater-Verbände (GIH) als Multiplikator zu Freiberuflern.</w:t>
      </w:r>
    </w:p>
    <w:p>
      <w:pPr>
        <w:pStyle w:val="Heading3"/>
        <w:keepNext/>
        <w:spacing w:after="100" w:before="220"/>
      </w:pPr>
      <w:r>
        <w:t xml:space="preserve">Empfohlener Einstieg</w:t>
      </w:r>
    </w:p>
    <w:p>
      <w:pPr>
        <w:pStyle w:val="ListParagraph"/>
        <w:numPr>
          <w:ilvl w:val="0"/>
          <w:numId w:val="2"/>
        </w:numPr>
        <w:spacing w:after="60" w:line="276"/>
      </w:pPr>
      <w:r>
        <w:rPr>
          <w:rFonts w:ascii="Calibri" w:cs="Calibri" w:eastAsia="Calibri" w:hAnsi="Calibri"/>
          <w:sz w:val="21"/>
          <w:szCs w:val="21"/>
        </w:rPr>
        <w:t xml:space="preserve">Zwei Wege parallel: Installateur-Pilot (schnell) und Fachgespräch mit KfW/BAFA über Nachweisstandard (langsam, aber marktprägend).</w:t>
      </w:r>
    </w:p>
    <w:p>
      <w:pPr>
        <w:pStyle w:val="Heading2"/>
        <w:keepNext/>
        <w:spacing w:after="140" w:before="300"/>
      </w:pPr>
      <w:r>
        <w:t xml:space="preserve">F2 Zählerstände und Energieabrechnung</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928"/>
        <w:gridCol w:w="1928"/>
        <w:gridCol w:w="1928"/>
        <w:gridCol w:w="1927"/>
        <w:gridCol w:w="1927"/>
      </w:tblGrid>
      <w:tr>
        <w:trPr>
          <w:cantSplit/>
          <w:tblHeader w:val="false"/>
        </w:trPr>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Volumen</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Schmerz (1–5)</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Wettbewerb</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Nähe zur App</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Priorität</w:t>
            </w:r>
          </w:p>
        </w:tc>
      </w:tr>
      <w:tr>
        <w:trPr>
          <w:cantSplit/>
        </w:trPr>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sehr hoch</w:t>
            </w:r>
          </w:p>
        </w:tc>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2</w:t>
            </w:r>
          </w:p>
        </w:tc>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mittel</w:t>
            </w:r>
          </w:p>
        </w:tc>
        <w:tc>
          <w:tcPr>
            <w:tcW w:type="dxa" w:w="1927"/>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mittel</w:t>
            </w:r>
          </w:p>
        </w:tc>
        <w:tc>
          <w:tcPr>
            <w:tcW w:type="dxa" w:w="1927"/>
            <w:shd w:fill="F4F4F4"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8"/>
                <w:szCs w:val="18"/>
              </w:rPr>
              <w:t xml:space="preserve">C – beobachten / opportunistisch</w:t>
            </w:r>
          </w:p>
        </w:tc>
      </w:tr>
    </w:tbl>
    <w:p>
      <w:pPr>
        <w:spacing w:after="100"/>
      </w:pPr>
    </w:p>
    <w:p>
      <w:pPr>
        <w:spacing w:after="100" w:line="276"/>
      </w:pPr>
      <w:r>
        <w:rPr>
          <w:rFonts w:ascii="Calibri" w:cs="Calibri" w:eastAsia="Calibri" w:hAnsi="Calibri"/>
          <w:b/>
          <w:bCs/>
          <w:color w:val="1F3A5F"/>
          <w:sz w:val="21"/>
          <w:szCs w:val="21"/>
        </w:rPr>
        <w:t xml:space="preserve">Bedarf. </w:t>
      </w:r>
      <w:r>
        <w:rPr>
          <w:rFonts w:ascii="Calibri" w:cs="Calibri" w:eastAsia="Calibri" w:hAnsi="Calibri"/>
          <w:sz w:val="21"/>
          <w:szCs w:val="21"/>
        </w:rPr>
        <w:t xml:space="preserve">Millionen Selbstablesungen per Foto pro Jahr bei Strom, Gas, Wasser und Wärme. Bei Ein- und Auszug, Lieferantenwechsel und Nebenkostenabrechnung entscheidet der Zählerstand über hunderte Euro. Manipulierte oder nachträglich datierte Fotos sind heute nicht erkennbar.</w:t>
      </w:r>
    </w:p>
    <w:p>
      <w:pPr>
        <w:spacing w:after="100" w:line="276"/>
      </w:pPr>
      <w:r>
        <w:rPr>
          <w:rFonts w:ascii="Calibri" w:cs="Calibri" w:eastAsia="Calibri" w:hAnsi="Calibri"/>
          <w:b/>
          <w:bCs/>
          <w:color w:val="1F3A5F"/>
          <w:sz w:val="21"/>
          <w:szCs w:val="21"/>
        </w:rPr>
        <w:t xml:space="preserve">Wer bezahlt. </w:t>
      </w:r>
      <w:r>
        <w:rPr>
          <w:rFonts w:ascii="Calibri" w:cs="Calibri" w:eastAsia="Calibri" w:hAnsi="Calibri"/>
          <w:sz w:val="21"/>
          <w:szCs w:val="21"/>
        </w:rPr>
        <w:t xml:space="preserve">Energieversorger, Netzbetreiber, Messdienstleister, Hausverwaltungen.</w:t>
      </w:r>
    </w:p>
    <w:p>
      <w:pPr>
        <w:spacing w:after="100" w:line="276"/>
      </w:pPr>
      <w:r>
        <w:rPr>
          <w:rFonts w:ascii="Calibri" w:cs="Calibri" w:eastAsia="Calibri" w:hAnsi="Calibri"/>
          <w:b/>
          <w:bCs/>
          <w:color w:val="1F3A5F"/>
          <w:sz w:val="21"/>
          <w:szCs w:val="21"/>
        </w:rPr>
        <w:t xml:space="preserve">Auslöser. </w:t>
      </w:r>
      <w:r>
        <w:rPr>
          <w:rFonts w:ascii="Calibri" w:cs="Calibri" w:eastAsia="Calibri" w:hAnsi="Calibri"/>
          <w:sz w:val="21"/>
          <w:szCs w:val="21"/>
        </w:rPr>
        <w:t xml:space="preserve">Smart-Meter-Rollout dauert bis in die 2030er, Ablesung bleibt Massenprozess; Streit bei Umzug; Betrug beim Anbieterwechsel.</w:t>
      </w:r>
    </w:p>
    <w:p>
      <w:pPr>
        <w:spacing w:after="100" w:line="276"/>
      </w:pPr>
      <w:r>
        <w:rPr>
          <w:rFonts w:ascii="Calibri" w:cs="Calibri" w:eastAsia="Calibri" w:hAnsi="Calibri"/>
          <w:b/>
          <w:bCs/>
          <w:color w:val="1F3A5F"/>
          <w:sz w:val="21"/>
          <w:szCs w:val="21"/>
        </w:rPr>
        <w:t xml:space="preserve">Stand heute / Wettbewerb. </w:t>
      </w:r>
      <w:r>
        <w:rPr>
          <w:rFonts w:ascii="Calibri" w:cs="Calibri" w:eastAsia="Calibri" w:hAnsi="Calibri"/>
          <w:sz w:val="21"/>
          <w:szCs w:val="21"/>
        </w:rPr>
        <w:t xml:space="preserve">Versorger-Apps mit Fotoupload und OCR (z. B. von Pixolus/Anyline), ohne Beweisschicht.</w:t>
      </w:r>
    </w:p>
    <w:p>
      <w:pPr>
        <w:pStyle w:val="Heading3"/>
        <w:keepNext/>
        <w:spacing w:after="100" w:before="220"/>
      </w:pPr>
      <w:r>
        <w:t xml:space="preserve">Potenzielle Kunden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2000"/>
        <w:gridCol w:w="2700"/>
        <w:gridCol w:w="2238"/>
      </w:tblGrid>
      <w:tr>
        <w:trPr>
          <w:cantSplit/>
          <w:tblHeader/>
        </w:trPr>
        <w:tc>
          <w:tcPr>
            <w:tcW w:type="dxa" w:w="27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Organisation</w:t>
            </w:r>
          </w:p>
        </w:tc>
        <w:tc>
          <w:tcPr>
            <w:tcW w:type="dxa" w:w="20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Typ / Sitz</w:t>
            </w:r>
          </w:p>
        </w:tc>
        <w:tc>
          <w:tcPr>
            <w:tcW w:type="dxa" w:w="27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Zielrolle (Ansprechpartner)</w:t>
            </w:r>
          </w:p>
        </w:tc>
        <w:tc>
          <w:tcPr>
            <w:tcW w:type="dxa" w:w="2238"/>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Web / Zugang</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E.ON Energie Deutschland</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Versorger, München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Kundenservice/Abrechnung; Digital Products</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eon.de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EnBW</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Versorger, Karlsruhe</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Abrechnung; Digitalisierung</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enbw.com</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Vattenfall Deutschland</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Versorger, Berlin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Customer Operations</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vattenfall.de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Techem</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Messdienstleister, Eschborn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Produktmanagement; Ablesung</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techem.de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ista</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Messdienstleister, Essen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Operations; Digital</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ista.de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BRUNATA-METRONA</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Messdienstleister, München/Hamburg</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Ablesung; Produkt</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brunata-metrona.de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Minol</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Messdienstleister, Leinfelden-Echterdingen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Produktmanagement</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minol.de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Westnetz</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Netzbetreiber, Dortmund</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Messwesen; Kundenservice</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westnetz.de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Bayernwerk Netz</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Netzbetreiber, Regensburg</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Messwesen</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bayernwerk-netz.de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Netze BW</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Netzbetreiber, Stuttgart</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Messstellenbetrieb</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netze-bw.de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VKU Verband kommunaler Unternehmen</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Verband, Berlin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Sparte Energie (Stadtwerke)</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vku.de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BDEW Bundesverband der Energie- und Wasserwirtschaft</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Verband, Berlin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Geschäftsbereich Digitalisierung</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bdew.de</w:t>
            </w:r>
          </w:p>
        </w:tc>
      </w:tr>
    </w:tbl>
    <w:p>
      <w:pPr>
        <w:spacing w:after="80"/>
      </w:pPr>
    </w:p>
    <w:p>
      <w:pPr>
        <w:pStyle w:val="Heading3"/>
        <w:keepNext/>
        <w:spacing w:after="100" w:before="220"/>
      </w:pPr>
      <w:r>
        <w:t xml:space="preserve">Multiplikatoren und Zugang</w:t>
      </w:r>
    </w:p>
    <w:p>
      <w:pPr>
        <w:pStyle w:val="ListParagraph"/>
        <w:numPr>
          <w:ilvl w:val="0"/>
          <w:numId w:val="2"/>
        </w:numPr>
        <w:spacing w:after="60" w:line="276"/>
      </w:pPr>
      <w:r>
        <w:rPr>
          <w:rFonts w:ascii="Calibri" w:cs="Calibri" w:eastAsia="Calibri" w:hAnsi="Calibri"/>
          <w:sz w:val="21"/>
          <w:szCs w:val="21"/>
        </w:rPr>
        <w:t xml:space="preserve">Messdienstleister (Techem, ista) erreichen Millionen Wohnungen.</w:t>
      </w:r>
    </w:p>
    <w:p>
      <w:pPr>
        <w:pStyle w:val="ListParagraph"/>
        <w:numPr>
          <w:ilvl w:val="0"/>
          <w:numId w:val="2"/>
        </w:numPr>
        <w:spacing w:after="60" w:line="276"/>
      </w:pPr>
      <w:r>
        <w:rPr>
          <w:rFonts w:ascii="Calibri" w:cs="Calibri" w:eastAsia="Calibri" w:hAnsi="Calibri"/>
          <w:sz w:val="21"/>
          <w:szCs w:val="21"/>
        </w:rPr>
        <w:t xml:space="preserve">Hausverwaltungen aus B2 haben denselben Bedarf bei Übergabe.</w:t>
      </w:r>
    </w:p>
    <w:p>
      <w:pPr>
        <w:pStyle w:val="Heading3"/>
        <w:keepNext/>
        <w:spacing w:after="100" w:before="220"/>
      </w:pPr>
      <w:r>
        <w:t xml:space="preserve">Empfohlener Einstieg</w:t>
      </w:r>
    </w:p>
    <w:p>
      <w:pPr>
        <w:pStyle w:val="ListParagraph"/>
        <w:numPr>
          <w:ilvl w:val="0"/>
          <w:numId w:val="2"/>
        </w:numPr>
        <w:spacing w:after="60" w:line="276"/>
      </w:pPr>
      <w:r>
        <w:rPr>
          <w:rFonts w:ascii="Calibri" w:cs="Calibri" w:eastAsia="Calibri" w:hAnsi="Calibri"/>
          <w:sz w:val="21"/>
          <w:szCs w:val="21"/>
        </w:rPr>
        <w:t xml:space="preserve">Kombination mit Wohnungsübergabe (B2): Zählerstand als Pflichtfoto im Protokoll.</w:t>
      </w:r>
    </w:p>
    <w:p>
      <w:pPr>
        <w:pStyle w:val="Heading2"/>
        <w:keepNext/>
        <w:spacing w:after="140" w:before="300"/>
      </w:pPr>
      <w:r>
        <w:t xml:space="preserve">F3 Agrarförderung, Wolfsriss, Wildschaden, Hagelschaden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928"/>
        <w:gridCol w:w="1928"/>
        <w:gridCol w:w="1928"/>
        <w:gridCol w:w="1927"/>
        <w:gridCol w:w="1927"/>
      </w:tblGrid>
      <w:tr>
        <w:trPr>
          <w:cantSplit/>
          <w:tblHeader w:val="false"/>
        </w:trPr>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Volumen</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Schmerz (1–5)</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Wettbewerb</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Nähe zur App</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Priorität</w:t>
            </w:r>
          </w:p>
        </w:tc>
      </w:tr>
      <w:tr>
        <w:trPr>
          <w:cantSplit/>
        </w:trPr>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mittel</w:t>
            </w:r>
          </w:p>
        </w:tc>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4</w:t>
            </w:r>
          </w:p>
        </w:tc>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niedrig</w:t>
            </w:r>
          </w:p>
        </w:tc>
        <w:tc>
          <w:tcPr>
            <w:tcW w:type="dxa" w:w="1927"/>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mittel</w:t>
            </w:r>
          </w:p>
        </w:tc>
        <w:tc>
          <w:tcPr>
            <w:tcW w:type="dxa" w:w="1927"/>
            <w:shd w:fill="FFF2CC"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8"/>
                <w:szCs w:val="18"/>
              </w:rPr>
              <w:t xml:space="preserve">B – zweite Welle</w:t>
            </w:r>
          </w:p>
        </w:tc>
      </w:tr>
    </w:tbl>
    <w:p>
      <w:pPr>
        <w:spacing w:after="100"/>
      </w:pPr>
    </w:p>
    <w:p>
      <w:pPr>
        <w:spacing w:after="100" w:line="276"/>
      </w:pPr>
      <w:r>
        <w:rPr>
          <w:rFonts w:ascii="Calibri" w:cs="Calibri" w:eastAsia="Calibri" w:hAnsi="Calibri"/>
          <w:b/>
          <w:bCs/>
          <w:color w:val="1F3A5F"/>
          <w:sz w:val="21"/>
          <w:szCs w:val="21"/>
        </w:rPr>
        <w:t xml:space="preserve">Bedarf. </w:t>
      </w:r>
      <w:r>
        <w:rPr>
          <w:rFonts w:ascii="Calibri" w:cs="Calibri" w:eastAsia="Calibri" w:hAnsi="Calibri"/>
          <w:sz w:val="21"/>
          <w:szCs w:val="21"/>
        </w:rPr>
        <w:t xml:space="preserve">EU-Agrarzahlungen verlangen geotaggte Fotos aus zugelassenen Apps (Flächenmonitoring). Wolfsrisse werden nur mit belastbarer Dokumentation entschädigt, Rissgutachter kommen oft erst nach Tagen. Wildschäden müssen binnen einer Woche bei der Gemeinde angemeldet werden, Hagel- und Ernteschäden verändern sich täglich.</w:t>
      </w:r>
    </w:p>
    <w:p>
      <w:pPr>
        <w:spacing w:after="100" w:line="276"/>
      </w:pPr>
      <w:r>
        <w:rPr>
          <w:rFonts w:ascii="Calibri" w:cs="Calibri" w:eastAsia="Calibri" w:hAnsi="Calibri"/>
          <w:b/>
          <w:bCs/>
          <w:color w:val="1F3A5F"/>
          <w:sz w:val="21"/>
          <w:szCs w:val="21"/>
        </w:rPr>
        <w:t xml:space="preserve">Wer bezahlt. </w:t>
      </w:r>
      <w:r>
        <w:rPr>
          <w:rFonts w:ascii="Calibri" w:cs="Calibri" w:eastAsia="Calibri" w:hAnsi="Calibri"/>
          <w:sz w:val="21"/>
          <w:szCs w:val="21"/>
        </w:rPr>
        <w:t xml:space="preserve">Landeszahlstellen, Landwirtschaftskammern, Landesämter für Umwelt, Agrarversicherer, Landwirte, Schäfer, Jagdgenossenschaften.</w:t>
      </w:r>
    </w:p>
    <w:p>
      <w:pPr>
        <w:spacing w:after="100" w:line="276"/>
      </w:pPr>
      <w:r>
        <w:rPr>
          <w:rFonts w:ascii="Calibri" w:cs="Calibri" w:eastAsia="Calibri" w:hAnsi="Calibri"/>
          <w:b/>
          <w:bCs/>
          <w:color w:val="1F3A5F"/>
          <w:sz w:val="21"/>
          <w:szCs w:val="21"/>
        </w:rPr>
        <w:t xml:space="preserve">Auslöser. </w:t>
      </w:r>
      <w:r>
        <w:rPr>
          <w:rFonts w:ascii="Calibri" w:cs="Calibri" w:eastAsia="Calibri" w:hAnsi="Calibri"/>
          <w:sz w:val="21"/>
          <w:szCs w:val="21"/>
        </w:rPr>
        <w:t xml:space="preserve">GAP-Reform mit Fotopflicht, wachsende Wolfsbestände, Hagelschadenzunahme, Wildschadensverfahren mit Schätzer.</w:t>
      </w:r>
    </w:p>
    <w:p>
      <w:pPr>
        <w:spacing w:after="100" w:line="276"/>
      </w:pPr>
      <w:r>
        <w:rPr>
          <w:rFonts w:ascii="Calibri" w:cs="Calibri" w:eastAsia="Calibri" w:hAnsi="Calibri"/>
          <w:b/>
          <w:bCs/>
          <w:color w:val="1F3A5F"/>
          <w:sz w:val="21"/>
          <w:szCs w:val="21"/>
        </w:rPr>
        <w:t xml:space="preserve">Stand heute / Wettbewerb. </w:t>
      </w:r>
      <w:r>
        <w:rPr>
          <w:rFonts w:ascii="Calibri" w:cs="Calibri" w:eastAsia="Calibri" w:hAnsi="Calibri"/>
          <w:sz w:val="21"/>
          <w:szCs w:val="21"/>
        </w:rPr>
        <w:t xml:space="preserve">Länder-Apps für Flächenfotos (z. B. FANi, Profil) ohne Beweisschicht; Wolfsriss und Wildschaden völlig unversorgt.</w:t>
      </w:r>
    </w:p>
    <w:p>
      <w:pPr>
        <w:pStyle w:val="Heading3"/>
        <w:keepNext/>
        <w:spacing w:after="100" w:before="220"/>
      </w:pPr>
      <w:r>
        <w:t xml:space="preserve">Potenzielle Kunden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2000"/>
        <w:gridCol w:w="2700"/>
        <w:gridCol w:w="2238"/>
      </w:tblGrid>
      <w:tr>
        <w:trPr>
          <w:cantSplit/>
          <w:tblHeader/>
        </w:trPr>
        <w:tc>
          <w:tcPr>
            <w:tcW w:type="dxa" w:w="27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Organisation</w:t>
            </w:r>
          </w:p>
        </w:tc>
        <w:tc>
          <w:tcPr>
            <w:tcW w:type="dxa" w:w="20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Typ / Sitz</w:t>
            </w:r>
          </w:p>
        </w:tc>
        <w:tc>
          <w:tcPr>
            <w:tcW w:type="dxa" w:w="27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Zielrolle (Ansprechpartner)</w:t>
            </w:r>
          </w:p>
        </w:tc>
        <w:tc>
          <w:tcPr>
            <w:tcW w:type="dxa" w:w="2238"/>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Web / Zugang</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Bundesanstalt für Landwirtschaft und Ernährung (BLE)</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Bundesbehörde, Bonn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Referat GAP-Kontrollsysteme</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ble.de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Landwirtschaftskammer Niedersachsen</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Kammer, Oldenburg</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Förderung; Wildschadensschätzer</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lwk-niedersachsen.de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Landwirtschaftskammer NRW</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Kammer, Münster</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Förderung; Digitalisierung</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landwirtschaftskammer.de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Bayerische Landesanstalt für Landwirtschaft (LfL)</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Landesanstalt, Freising</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Agrarökonomie; Digitalisierung</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lfl.bayern.de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Vereinigte Hagel</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Agrarversicherer, Gießen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Schadenregulierung; Digitalisierung</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vereinigte-hagel.de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Münchener und Magdeburger Agrarversicherung</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Agrarversicherer, München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Schaden</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mmagrar.de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R+V Agrar</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Versicherer, Wiesbaden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Agrarschaden</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ruv.de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Dokumentations- und Beratungsstelle des Bundes zum Thema Wolf (DBBW)</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Bundesstelle, Görlitz</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Leitung; Rissdokumentation</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dbb-wolf.de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Bayerisches Landesamt für Umwelt (LfU)</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Landesamt, Augsburg</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Wolfsmanagement/Rissbegutachtung</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lfu.bayern.de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LANUV NRW</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Landesamt, Recklinghausen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Wolfsmanagement</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lanuv.nrw.de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Bundesverband Berufsschäfer</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Verband</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Vorstand</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berufsschaefer.de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Deutscher Bauernverband</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Verband, Berlin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Fachbereich Förderung; Wildtiermanagement</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bauernverband.de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Deutscher Jagdverband (DJV)</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Verband, Berlin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Wildschaden; Landesjagdverbände</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jagdverband.de</w:t>
            </w:r>
          </w:p>
        </w:tc>
      </w:tr>
    </w:tbl>
    <w:p>
      <w:pPr>
        <w:spacing w:after="80"/>
      </w:pPr>
    </w:p>
    <w:p>
      <w:pPr>
        <w:pStyle w:val="Heading3"/>
        <w:keepNext/>
        <w:spacing w:after="100" w:before="220"/>
      </w:pPr>
      <w:r>
        <w:t xml:space="preserve">Multiplikatoren und Zugang</w:t>
      </w:r>
    </w:p>
    <w:p>
      <w:pPr>
        <w:pStyle w:val="ListParagraph"/>
        <w:numPr>
          <w:ilvl w:val="0"/>
          <w:numId w:val="2"/>
        </w:numPr>
        <w:spacing w:after="60" w:line="276"/>
      </w:pPr>
      <w:r>
        <w:rPr>
          <w:rFonts w:ascii="Calibri" w:cs="Calibri" w:eastAsia="Calibri" w:hAnsi="Calibri"/>
          <w:sz w:val="21"/>
          <w:szCs w:val="21"/>
        </w:rPr>
        <w:t xml:space="preserve">Landeszahlstellen setzen Standards für alle Landwirte eines Bundeslandes.</w:t>
      </w:r>
    </w:p>
    <w:p>
      <w:pPr>
        <w:pStyle w:val="ListParagraph"/>
        <w:numPr>
          <w:ilvl w:val="0"/>
          <w:numId w:val="2"/>
        </w:numPr>
        <w:spacing w:after="60" w:line="276"/>
      </w:pPr>
      <w:r>
        <w:rPr>
          <w:rFonts w:ascii="Calibri" w:cs="Calibri" w:eastAsia="Calibri" w:hAnsi="Calibri"/>
          <w:sz w:val="21"/>
          <w:szCs w:val="21"/>
        </w:rPr>
        <w:t xml:space="preserve">Agrarversicherer können Beweisfotos als Bedingung für Schnellregulierung einführen.</w:t>
      </w:r>
    </w:p>
    <w:p>
      <w:pPr>
        <w:pStyle w:val="ListParagraph"/>
        <w:numPr>
          <w:ilvl w:val="0"/>
          <w:numId w:val="2"/>
        </w:numPr>
        <w:spacing w:after="60" w:line="276"/>
      </w:pPr>
      <w:r>
        <w:rPr>
          <w:rFonts w:ascii="Calibri" w:cs="Calibri" w:eastAsia="Calibri" w:hAnsi="Calibri"/>
          <w:sz w:val="21"/>
          <w:szCs w:val="21"/>
        </w:rPr>
        <w:t xml:space="preserve">Messe Agritechnica (Hannover), EuroTier, Jagd &amp; Hund (Dortmund).</w:t>
      </w:r>
    </w:p>
    <w:p>
      <w:pPr>
        <w:pStyle w:val="Heading3"/>
        <w:keepNext/>
        <w:spacing w:after="100" w:before="220"/>
      </w:pPr>
      <w:r>
        <w:t xml:space="preserve">Empfohlener Einstieg</w:t>
      </w:r>
    </w:p>
    <w:p>
      <w:pPr>
        <w:pStyle w:val="ListParagraph"/>
        <w:numPr>
          <w:ilvl w:val="0"/>
          <w:numId w:val="2"/>
        </w:numPr>
        <w:spacing w:after="60" w:line="276"/>
      </w:pPr>
      <w:r>
        <w:rPr>
          <w:rFonts w:ascii="Calibri" w:cs="Calibri" w:eastAsia="Calibri" w:hAnsi="Calibri"/>
          <w:sz w:val="21"/>
          <w:szCs w:val="21"/>
        </w:rPr>
        <w:t xml:space="preserve">Wolfsriss-Dokumentation als Nischenprodukt mit Landesamt und Schäferverband; hohe Sichtbarkeit, geringe Konkurrenz.</w:t>
      </w:r>
    </w:p>
    <w:p>
      <w:pPr>
        <w:pStyle w:val="Heading2"/>
        <w:keepNext/>
        <w:spacing w:after="140" w:before="300"/>
      </w:pPr>
      <w:r>
        <w:t xml:space="preserve">F4 Umwelt-, Lieferketten- und CO2-Nachweise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928"/>
        <w:gridCol w:w="1928"/>
        <w:gridCol w:w="1928"/>
        <w:gridCol w:w="1927"/>
        <w:gridCol w:w="1927"/>
      </w:tblGrid>
      <w:tr>
        <w:trPr>
          <w:cantSplit/>
          <w:tblHeader w:val="false"/>
        </w:trPr>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Volumen</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Schmerz (1–5)</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Wettbewerb</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Nähe zur App</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Priorität</w:t>
            </w:r>
          </w:p>
        </w:tc>
      </w:tr>
      <w:tr>
        <w:trPr>
          <w:cantSplit/>
        </w:trPr>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hoch</w:t>
            </w:r>
          </w:p>
        </w:tc>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3</w:t>
            </w:r>
          </w:p>
        </w:tc>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niedrig</w:t>
            </w:r>
          </w:p>
        </w:tc>
        <w:tc>
          <w:tcPr>
            <w:tcW w:type="dxa" w:w="1927"/>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niedrig</w:t>
            </w:r>
          </w:p>
        </w:tc>
        <w:tc>
          <w:tcPr>
            <w:tcW w:type="dxa" w:w="1927"/>
            <w:shd w:fill="F4F4F4"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8"/>
                <w:szCs w:val="18"/>
              </w:rPr>
              <w:t xml:space="preserve">C – beobachten / opportunistisch</w:t>
            </w:r>
          </w:p>
        </w:tc>
      </w:tr>
    </w:tbl>
    <w:p>
      <w:pPr>
        <w:spacing w:after="100"/>
      </w:pPr>
    </w:p>
    <w:p>
      <w:pPr>
        <w:spacing w:after="100" w:line="276"/>
      </w:pPr>
      <w:r>
        <w:rPr>
          <w:rFonts w:ascii="Calibri" w:cs="Calibri" w:eastAsia="Calibri" w:hAnsi="Calibri"/>
          <w:b/>
          <w:bCs/>
          <w:color w:val="1F3A5F"/>
          <w:sz w:val="21"/>
          <w:szCs w:val="21"/>
        </w:rPr>
        <w:t xml:space="preserve">Bedarf. </w:t>
      </w:r>
      <w:r>
        <w:rPr>
          <w:rFonts w:ascii="Calibri" w:cs="Calibri" w:eastAsia="Calibri" w:hAnsi="Calibri"/>
          <w:sz w:val="21"/>
          <w:szCs w:val="21"/>
        </w:rPr>
        <w:t xml:space="preserve">Lieferkettengesetz, EU-Entwaldungsverordnung, Bio-Zertifizierung, Waldzertifikate und CO2-Gutschriften basieren auf Vor-Ort-Nachweisen: Feldfotos, Auditfotos, Lagerfotos. Prüfer sitzen weit entfernt, die Lieferanten liefern die Fotos selbst. Greenwashing-Vorwürfe treffen Zertifizierer und Käufer.</w:t>
      </w:r>
    </w:p>
    <w:p>
      <w:pPr>
        <w:spacing w:after="100" w:line="276"/>
      </w:pPr>
      <w:r>
        <w:rPr>
          <w:rFonts w:ascii="Calibri" w:cs="Calibri" w:eastAsia="Calibri" w:hAnsi="Calibri"/>
          <w:b/>
          <w:bCs/>
          <w:color w:val="1F3A5F"/>
          <w:sz w:val="21"/>
          <w:szCs w:val="21"/>
        </w:rPr>
        <w:t xml:space="preserve">Wer bezahlt. </w:t>
      </w:r>
      <w:r>
        <w:rPr>
          <w:rFonts w:ascii="Calibri" w:cs="Calibri" w:eastAsia="Calibri" w:hAnsi="Calibri"/>
          <w:sz w:val="21"/>
          <w:szCs w:val="21"/>
        </w:rPr>
        <w:t xml:space="preserve">Zertifizierungsstellen, Auditoren, Unternehmen mit Berichtspflicht, CO2-Projektentwickler, Öko-Kontrollstellen.</w:t>
      </w:r>
    </w:p>
    <w:p>
      <w:pPr>
        <w:spacing w:after="100" w:line="276"/>
      </w:pPr>
      <w:r>
        <w:rPr>
          <w:rFonts w:ascii="Calibri" w:cs="Calibri" w:eastAsia="Calibri" w:hAnsi="Calibri"/>
          <w:b/>
          <w:bCs/>
          <w:color w:val="1F3A5F"/>
          <w:sz w:val="21"/>
          <w:szCs w:val="21"/>
        </w:rPr>
        <w:t xml:space="preserve">Auslöser. </w:t>
      </w:r>
      <w:r>
        <w:rPr>
          <w:rFonts w:ascii="Calibri" w:cs="Calibri" w:eastAsia="Calibri" w:hAnsi="Calibri"/>
          <w:sz w:val="21"/>
          <w:szCs w:val="21"/>
        </w:rPr>
        <w:t xml:space="preserve">LkSG, CSRD, EUDR, Kritik an CO2-Zertifikaten, Öko-Betrugsfälle.</w:t>
      </w:r>
    </w:p>
    <w:p>
      <w:pPr>
        <w:spacing w:after="100" w:line="276"/>
      </w:pPr>
      <w:r>
        <w:rPr>
          <w:rFonts w:ascii="Calibri" w:cs="Calibri" w:eastAsia="Calibri" w:hAnsi="Calibri"/>
          <w:b/>
          <w:bCs/>
          <w:color w:val="1F3A5F"/>
          <w:sz w:val="21"/>
          <w:szCs w:val="21"/>
        </w:rPr>
        <w:t xml:space="preserve">Stand heute / Wettbewerb. </w:t>
      </w:r>
      <w:r>
        <w:rPr>
          <w:rFonts w:ascii="Calibri" w:cs="Calibri" w:eastAsia="Calibri" w:hAnsi="Calibri"/>
          <w:sz w:val="21"/>
          <w:szCs w:val="21"/>
        </w:rPr>
        <w:t xml:space="preserve">Satellitendaten für Flächen, aber kein Standard für belastbare Vor-Ort-Fotos. Einzelne Plattformen (Numbers Protocol) versuchen es mit Blockchain.</w:t>
      </w:r>
    </w:p>
    <w:p>
      <w:pPr>
        <w:pStyle w:val="Heading3"/>
        <w:keepNext/>
        <w:spacing w:after="100" w:before="220"/>
      </w:pPr>
      <w:r>
        <w:t xml:space="preserve">Potenzielle Kunden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2000"/>
        <w:gridCol w:w="2700"/>
        <w:gridCol w:w="2238"/>
      </w:tblGrid>
      <w:tr>
        <w:trPr>
          <w:cantSplit/>
          <w:tblHeader/>
        </w:trPr>
        <w:tc>
          <w:tcPr>
            <w:tcW w:type="dxa" w:w="27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Organisation</w:t>
            </w:r>
          </w:p>
        </w:tc>
        <w:tc>
          <w:tcPr>
            <w:tcW w:type="dxa" w:w="20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Typ / Sitz</w:t>
            </w:r>
          </w:p>
        </w:tc>
        <w:tc>
          <w:tcPr>
            <w:tcW w:type="dxa" w:w="27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Zielrolle (Ansprechpartner)</w:t>
            </w:r>
          </w:p>
        </w:tc>
        <w:tc>
          <w:tcPr>
            <w:tcW w:type="dxa" w:w="2238"/>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Web / Zugang</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BAFA (LkSG-Kontrollbehörde)</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Bundesbehörde, Eschborn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Abteilung Lieferkettengesetz</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bafa.de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TÜV SÜD (Sustainability Services)</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Zertifizierer, München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Nachhaltigkeitsaudits</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tuvsud.com</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DQS</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Zertifizierer, Frankfurt</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Sustainability Auditing</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dqsglobal.com</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Control Union Deutschland</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Zertifizierer, Berlin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Audit Operations</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controlunion.com</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GLOBALG.A.P.</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Standardgeber, Köln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Standards; Integrity Program</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globalgap.org</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ABCERT</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Öko-Kontrollstelle, Esslingen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Geschäftsführung; Kontrollwesen</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abcert.de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Bioland</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Anbauverband, Mainz</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Qualitätssicherung</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bioland.de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Naturland</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Anbauverband, Gräfelfing</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Qualitätssicherung</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naturland.de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PEFC Deutschland</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Waldzertifizierung, Stuttgart</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Geschäftsführung</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pefc.de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FSC Deutschland</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Waldzertifizierung, Freiburg</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Geschäftsführung</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fsc-deutschland.de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Klim</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CO2-Landwirtschaftsplattform, Berlin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Product; MRV</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klim.eco</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Carbonfuture</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CO2-Senken-Plattform, Freiburg</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MRV; Product</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carbonfuture.earth</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Bündnis für nachhaltige Textilien</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Multi-Stakeholder-Initiative, Bonn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Sekretariat</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textilbuendnis.com</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Fairtrade Deutschland</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Siegelorganisation, Köln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Standards und Prüfung</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fairtrade-deutschland.de</w:t>
            </w:r>
          </w:p>
        </w:tc>
      </w:tr>
    </w:tbl>
    <w:p>
      <w:pPr>
        <w:spacing w:after="80"/>
      </w:pPr>
    </w:p>
    <w:p>
      <w:pPr>
        <w:pStyle w:val="Heading3"/>
        <w:keepNext/>
        <w:spacing w:after="100" w:before="220"/>
      </w:pPr>
      <w:r>
        <w:t xml:space="preserve">Multiplikatoren und Zugang</w:t>
      </w:r>
    </w:p>
    <w:p>
      <w:pPr>
        <w:pStyle w:val="ListParagraph"/>
        <w:numPr>
          <w:ilvl w:val="0"/>
          <w:numId w:val="2"/>
        </w:numPr>
        <w:spacing w:after="60" w:line="276"/>
      </w:pPr>
      <w:r>
        <w:rPr>
          <w:rFonts w:ascii="Calibri" w:cs="Calibri" w:eastAsia="Calibri" w:hAnsi="Calibri"/>
          <w:sz w:val="21"/>
          <w:szCs w:val="21"/>
        </w:rPr>
        <w:t xml:space="preserve">Standardgeber (GLOBALG.A.P., PEFC, Gold Standard) definieren Nachweisformate für alle Auditoren.</w:t>
      </w:r>
    </w:p>
    <w:p>
      <w:pPr>
        <w:pStyle w:val="Heading3"/>
        <w:keepNext/>
        <w:spacing w:after="100" w:before="220"/>
      </w:pPr>
      <w:r>
        <w:t xml:space="preserve">Empfohlener Einstieg</w:t>
      </w:r>
    </w:p>
    <w:p>
      <w:pPr>
        <w:pStyle w:val="ListParagraph"/>
        <w:numPr>
          <w:ilvl w:val="0"/>
          <w:numId w:val="2"/>
        </w:numPr>
        <w:spacing w:after="60" w:line="276"/>
      </w:pPr>
      <w:r>
        <w:rPr>
          <w:rFonts w:ascii="Calibri" w:cs="Calibri" w:eastAsia="Calibri" w:hAnsi="Calibri"/>
          <w:sz w:val="21"/>
          <w:szCs w:val="21"/>
        </w:rPr>
        <w:t xml:space="preserve">CO2-Landwirtschaft (Klim, Carbonfuture): junge Unternehmen unter Nachweisdruck, schnelle Entscheidungen.</w:t>
      </w:r>
    </w:p>
    <w:p>
      <w:r>
        <w:br w:type="page"/>
      </w:r>
    </w:p>
    <w:p>
      <w:pPr>
        <w:pStyle w:val="Heading1"/>
        <w:keepNext/>
        <w:spacing w:after="200" w:before="360"/>
      </w:pPr>
      <w:r>
        <w:t xml:space="preserve">10. Gutachten und Inspektion (Feld G)</w:t>
      </w:r>
    </w:p>
    <w:p>
      <w:pPr>
        <w:spacing w:after="120" w:before="0" w:line="276"/>
      </w:pPr>
      <w:r>
        <w:rPr>
          <w:rFonts w:ascii="Calibri" w:cs="Calibri" w:eastAsia="Calibri" w:hAnsi="Calibri"/>
          <w:sz w:val="21"/>
          <w:szCs w:val="21"/>
        </w:rPr>
        <w:t xml:space="preserve">Sachverständige und Inspekteure liefern Berichte mit Fotos, deren Herkunft niemand prüfen kann. Ein Beweisstandard für Gutachterfotos ist ein Verbandsthema und ein Reputationsargument für den einzelnen Gutachter.</w:t>
      </w:r>
    </w:p>
    <w:p>
      <w:pPr>
        <w:pStyle w:val="Heading2"/>
        <w:keepNext/>
        <w:spacing w:after="140" w:before="300"/>
      </w:pPr>
      <w:r>
        <w:t xml:space="preserve">G1 Sachverständige (Kfz, Bau, Schimmel, Schaden)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928"/>
        <w:gridCol w:w="1928"/>
        <w:gridCol w:w="1928"/>
        <w:gridCol w:w="1927"/>
        <w:gridCol w:w="1927"/>
      </w:tblGrid>
      <w:tr>
        <w:trPr>
          <w:cantSplit/>
          <w:tblHeader w:val="false"/>
        </w:trPr>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Volumen</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Schmerz (1–5)</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Wettbewerb</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Nähe zur App</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Priorität</w:t>
            </w:r>
          </w:p>
        </w:tc>
      </w:tr>
      <w:tr>
        <w:trPr>
          <w:cantSplit/>
        </w:trPr>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hoch</w:t>
            </w:r>
          </w:p>
        </w:tc>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3</w:t>
            </w:r>
          </w:p>
        </w:tc>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mittel</w:t>
            </w:r>
          </w:p>
        </w:tc>
        <w:tc>
          <w:tcPr>
            <w:tcW w:type="dxa" w:w="1927"/>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hoch</w:t>
            </w:r>
          </w:p>
        </w:tc>
        <w:tc>
          <w:tcPr>
            <w:tcW w:type="dxa" w:w="1927"/>
            <w:shd w:fill="FFF2CC"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8"/>
                <w:szCs w:val="18"/>
              </w:rPr>
              <w:t xml:space="preserve">B – zweite Welle</w:t>
            </w:r>
          </w:p>
        </w:tc>
      </w:tr>
    </w:tbl>
    <w:p>
      <w:pPr>
        <w:spacing w:after="100"/>
      </w:pPr>
    </w:p>
    <w:p>
      <w:pPr>
        <w:spacing w:after="100" w:line="276"/>
      </w:pPr>
      <w:r>
        <w:rPr>
          <w:rFonts w:ascii="Calibri" w:cs="Calibri" w:eastAsia="Calibri" w:hAnsi="Calibri"/>
          <w:b/>
          <w:bCs/>
          <w:color w:val="1F3A5F"/>
          <w:sz w:val="21"/>
          <w:szCs w:val="21"/>
        </w:rPr>
        <w:t xml:space="preserve">Bedarf. </w:t>
      </w:r>
      <w:r>
        <w:rPr>
          <w:rFonts w:ascii="Calibri" w:cs="Calibri" w:eastAsia="Calibri" w:hAnsi="Calibri"/>
          <w:sz w:val="21"/>
          <w:szCs w:val="21"/>
        </w:rPr>
        <w:t xml:space="preserve">Gutachten sind das zentrale Beweismittel im Zivilprozess. Gegner greifen die Fotodokumentation an (Zeitpunkt, Ort, Bearbeitung). Kfz-Gutachter arbeiten zunehmend mit Fotos, die der Kunde per App einreicht. Öffentlich bestellte Sachverständige haften persönlich.</w:t>
      </w:r>
    </w:p>
    <w:p>
      <w:pPr>
        <w:spacing w:after="100" w:line="276"/>
      </w:pPr>
      <w:r>
        <w:rPr>
          <w:rFonts w:ascii="Calibri" w:cs="Calibri" w:eastAsia="Calibri" w:hAnsi="Calibri"/>
          <w:b/>
          <w:bCs/>
          <w:color w:val="1F3A5F"/>
          <w:sz w:val="21"/>
          <w:szCs w:val="21"/>
        </w:rPr>
        <w:t xml:space="preserve">Wer bezahlt. </w:t>
      </w:r>
      <w:r>
        <w:rPr>
          <w:rFonts w:ascii="Calibri" w:cs="Calibri" w:eastAsia="Calibri" w:hAnsi="Calibri"/>
          <w:sz w:val="21"/>
          <w:szCs w:val="21"/>
        </w:rPr>
        <w:t xml:space="preserve">Sachverständigenbüros, Prüforganisationen, Gutachternetzwerke, Versicherer als Auftraggeber, Verbände.</w:t>
      </w:r>
    </w:p>
    <w:p>
      <w:pPr>
        <w:spacing w:after="100" w:line="276"/>
      </w:pPr>
      <w:r>
        <w:rPr>
          <w:rFonts w:ascii="Calibri" w:cs="Calibri" w:eastAsia="Calibri" w:hAnsi="Calibri"/>
          <w:b/>
          <w:bCs/>
          <w:color w:val="1F3A5F"/>
          <w:sz w:val="21"/>
          <w:szCs w:val="21"/>
        </w:rPr>
        <w:t xml:space="preserve">Auslöser. </w:t>
      </w:r>
      <w:r>
        <w:rPr>
          <w:rFonts w:ascii="Calibri" w:cs="Calibri" w:eastAsia="Calibri" w:hAnsi="Calibri"/>
          <w:sz w:val="21"/>
          <w:szCs w:val="21"/>
        </w:rPr>
        <w:t xml:space="preserve">Zunahme von Ferngutachten, Streit um Fotobeweise, Haftung der Sachverständigen, Berufsstandards.</w:t>
      </w:r>
    </w:p>
    <w:p>
      <w:pPr>
        <w:spacing w:after="100" w:line="276"/>
      </w:pPr>
      <w:r>
        <w:rPr>
          <w:rFonts w:ascii="Calibri" w:cs="Calibri" w:eastAsia="Calibri" w:hAnsi="Calibri"/>
          <w:b/>
          <w:bCs/>
          <w:color w:val="1F3A5F"/>
          <w:sz w:val="21"/>
          <w:szCs w:val="21"/>
        </w:rPr>
        <w:t xml:space="preserve">Stand heute / Wettbewerb. </w:t>
      </w:r>
      <w:r>
        <w:rPr>
          <w:rFonts w:ascii="Calibri" w:cs="Calibri" w:eastAsia="Calibri" w:hAnsi="Calibri"/>
          <w:sz w:val="21"/>
          <w:szCs w:val="21"/>
        </w:rPr>
        <w:t xml:space="preserve">Gutachten-Software (z. B. Audatex, DAT SilverDAT, Bausachverständigen-Software) ohne Herkunftsnachweis der Bilder.</w:t>
      </w:r>
    </w:p>
    <w:p>
      <w:pPr>
        <w:pStyle w:val="Heading3"/>
        <w:keepNext/>
        <w:spacing w:after="100" w:before="220"/>
      </w:pPr>
      <w:r>
        <w:t xml:space="preserve">Potenzielle Kunden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2000"/>
        <w:gridCol w:w="2700"/>
        <w:gridCol w:w="2238"/>
      </w:tblGrid>
      <w:tr>
        <w:trPr>
          <w:cantSplit/>
          <w:tblHeader/>
        </w:trPr>
        <w:tc>
          <w:tcPr>
            <w:tcW w:type="dxa" w:w="27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Organisation</w:t>
            </w:r>
          </w:p>
        </w:tc>
        <w:tc>
          <w:tcPr>
            <w:tcW w:type="dxa" w:w="20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Typ / Sitz</w:t>
            </w:r>
          </w:p>
        </w:tc>
        <w:tc>
          <w:tcPr>
            <w:tcW w:type="dxa" w:w="27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Zielrolle (Ansprechpartner)</w:t>
            </w:r>
          </w:p>
        </w:tc>
        <w:tc>
          <w:tcPr>
            <w:tcW w:type="dxa" w:w="2238"/>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Web / Zugang</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BVS Bundesverband öffentlich bestellter und vereidigter Sachverständiger</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Verband, Berlin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Geschäftsführung; Fachbereiche Bau/Kfz</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bvs-ev.de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BVSK Bundesverband der freiberuflichen und unabhängigen Sachverständigen für das Kraftfahrzeugwesen</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Verband</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Geschäftsführung; Technik</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bvsk.de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DEKRA Automobil</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Prüforganisation, Stuttgart</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Schadengutachten; Digitalisierung</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dekra.de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TÜV SÜD Auto Service</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Prüforganisation, München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Gutachten; Produkt</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tuvsud.com</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GTÜ Gesellschaft für Technische Überwachung</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Prüforganisation, Stuttgart</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Schadengutachten</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gtue.de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KÜS</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Prüforganisation, Losheim am See</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Gutachtenwesen</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kues.de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carexpert Kfz-Sachverständigen GmbH</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Gutachternetzwerk, Walluf</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Geschäftsführung; IT</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carexpert.de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DAT Deutsche Automobil Treuhand</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Daten/Software, Ostfildern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SilverDAT Produktmanagement</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dat.de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Solera (Audatex)</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Schadenkalkulation, Hamburg</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Produkt; Partnerships</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solera.com</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Bundesverband Schimmelpilzsanierung (BSS)</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Verband</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Geschäftsführung</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bss-schimmelpilz.de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Institut für Sachverständigenwesen (IfS)</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Aus- und Weiterbildung, Köln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Leitung; Seminare</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ifsforum.de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DIHK / IHKs (Sachverständigenbestellung)</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Kammern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Sachverständigenwesen</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dihk.de</w:t>
            </w:r>
          </w:p>
        </w:tc>
      </w:tr>
    </w:tbl>
    <w:p>
      <w:pPr>
        <w:spacing w:after="80"/>
      </w:pPr>
    </w:p>
    <w:p>
      <w:pPr>
        <w:pStyle w:val="Heading3"/>
        <w:keepNext/>
        <w:spacing w:after="100" w:before="220"/>
      </w:pPr>
      <w:r>
        <w:t xml:space="preserve">Multiplikatoren und Zugang</w:t>
      </w:r>
    </w:p>
    <w:p>
      <w:pPr>
        <w:pStyle w:val="ListParagraph"/>
        <w:numPr>
          <w:ilvl w:val="0"/>
          <w:numId w:val="2"/>
        </w:numPr>
        <w:spacing w:after="60" w:line="276"/>
      </w:pPr>
      <w:r>
        <w:rPr>
          <w:rFonts w:ascii="Calibri" w:cs="Calibri" w:eastAsia="Calibri" w:hAnsi="Calibri"/>
          <w:sz w:val="21"/>
          <w:szCs w:val="21"/>
        </w:rPr>
        <w:t xml:space="preserve">Verbände (BVS, BVSK) können Empfehlung als Berufsstandard aussprechen.</w:t>
      </w:r>
    </w:p>
    <w:p>
      <w:pPr>
        <w:pStyle w:val="ListParagraph"/>
        <w:numPr>
          <w:ilvl w:val="0"/>
          <w:numId w:val="2"/>
        </w:numPr>
        <w:spacing w:after="60" w:line="276"/>
      </w:pPr>
      <w:r>
        <w:rPr>
          <w:rFonts w:ascii="Calibri" w:cs="Calibri" w:eastAsia="Calibri" w:hAnsi="Calibri"/>
          <w:sz w:val="21"/>
          <w:szCs w:val="21"/>
        </w:rPr>
        <w:t xml:space="preserve">Gutachten-Software (DAT, Audatex) als Integrationspartner.</w:t>
      </w:r>
    </w:p>
    <w:p>
      <w:pPr>
        <w:pStyle w:val="Heading3"/>
        <w:keepNext/>
        <w:spacing w:after="100" w:before="220"/>
      </w:pPr>
      <w:r>
        <w:t xml:space="preserve">Empfohlener Einstieg</w:t>
      </w:r>
    </w:p>
    <w:p>
      <w:pPr>
        <w:pStyle w:val="ListParagraph"/>
        <w:numPr>
          <w:ilvl w:val="0"/>
          <w:numId w:val="2"/>
        </w:numPr>
        <w:spacing w:after="60" w:line="276"/>
      </w:pPr>
      <w:r>
        <w:rPr>
          <w:rFonts w:ascii="Calibri" w:cs="Calibri" w:eastAsia="Calibri" w:hAnsi="Calibri"/>
          <w:sz w:val="21"/>
          <w:szCs w:val="21"/>
        </w:rPr>
        <w:t xml:space="preserve">Bausachverständige über den bestehenden Bau-Kontakt; BVS-Fachtagung als Bühne.</w:t>
      </w:r>
    </w:p>
    <w:p>
      <w:pPr>
        <w:pStyle w:val="Heading2"/>
        <w:keepNext/>
        <w:spacing w:after="140" w:before="300"/>
      </w:pPr>
      <w:r>
        <w:t xml:space="preserve">G2 Pferde, Tiermedizin und Tierschutz</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928"/>
        <w:gridCol w:w="1928"/>
        <w:gridCol w:w="1928"/>
        <w:gridCol w:w="1927"/>
        <w:gridCol w:w="1927"/>
      </w:tblGrid>
      <w:tr>
        <w:trPr>
          <w:cantSplit/>
          <w:tblHeader w:val="false"/>
        </w:trPr>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Volumen</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Schmerz (1–5)</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Wettbewerb</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Nähe zur App</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Priorität</w:t>
            </w:r>
          </w:p>
        </w:tc>
      </w:tr>
      <w:tr>
        <w:trPr>
          <w:cantSplit/>
        </w:trPr>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niedrig</w:t>
            </w:r>
          </w:p>
        </w:tc>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3</w:t>
            </w:r>
          </w:p>
        </w:tc>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niedrig</w:t>
            </w:r>
          </w:p>
        </w:tc>
        <w:tc>
          <w:tcPr>
            <w:tcW w:type="dxa" w:w="1927"/>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mittel</w:t>
            </w:r>
          </w:p>
        </w:tc>
        <w:tc>
          <w:tcPr>
            <w:tcW w:type="dxa" w:w="1927"/>
            <w:shd w:fill="F4F4F4"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8"/>
                <w:szCs w:val="18"/>
              </w:rPr>
              <w:t xml:space="preserve">C – beobachten / opportunistisch</w:t>
            </w:r>
          </w:p>
        </w:tc>
      </w:tr>
    </w:tbl>
    <w:p>
      <w:pPr>
        <w:spacing w:after="100"/>
      </w:pPr>
    </w:p>
    <w:p>
      <w:pPr>
        <w:spacing w:after="100" w:line="276"/>
      </w:pPr>
      <w:r>
        <w:rPr>
          <w:rFonts w:ascii="Calibri" w:cs="Calibri" w:eastAsia="Calibri" w:hAnsi="Calibri"/>
          <w:b/>
          <w:bCs/>
          <w:color w:val="1F3A5F"/>
          <w:sz w:val="21"/>
          <w:szCs w:val="21"/>
        </w:rPr>
        <w:t xml:space="preserve">Bedarf. </w:t>
      </w:r>
      <w:r>
        <w:rPr>
          <w:rFonts w:ascii="Calibri" w:cs="Calibri" w:eastAsia="Calibri" w:hAnsi="Calibri"/>
          <w:sz w:val="21"/>
          <w:szCs w:val="21"/>
        </w:rPr>
        <w:t xml:space="preserve">Ankaufsuntersuchungen bei Pferden (Preise fünf- bis sechsstellig) stützen sich auf Röntgen- und Fotobefunde, Streit nach dem Kauf ist häufig. Tierversicherer regulieren OP- und Todesfälle per Foto. Veterinärämter dokumentieren Tierschutzverstöße für Verfahren.</w:t>
      </w:r>
    </w:p>
    <w:p>
      <w:pPr>
        <w:spacing w:after="100" w:line="276"/>
      </w:pPr>
      <w:r>
        <w:rPr>
          <w:rFonts w:ascii="Calibri" w:cs="Calibri" w:eastAsia="Calibri" w:hAnsi="Calibri"/>
          <w:b/>
          <w:bCs/>
          <w:color w:val="1F3A5F"/>
          <w:sz w:val="21"/>
          <w:szCs w:val="21"/>
        </w:rPr>
        <w:t xml:space="preserve">Wer bezahlt. </w:t>
      </w:r>
      <w:r>
        <w:rPr>
          <w:rFonts w:ascii="Calibri" w:cs="Calibri" w:eastAsia="Calibri" w:hAnsi="Calibri"/>
          <w:sz w:val="21"/>
          <w:szCs w:val="21"/>
        </w:rPr>
        <w:t xml:space="preserve">Pferdekliniken, Tierärzte, Pferdeversicherer, Zuchtverbände, Auktionshäuser, Veterinärämter.</w:t>
      </w:r>
    </w:p>
    <w:p>
      <w:pPr>
        <w:spacing w:after="100" w:line="276"/>
      </w:pPr>
      <w:r>
        <w:rPr>
          <w:rFonts w:ascii="Calibri" w:cs="Calibri" w:eastAsia="Calibri" w:hAnsi="Calibri"/>
          <w:b/>
          <w:bCs/>
          <w:color w:val="1F3A5F"/>
          <w:sz w:val="21"/>
          <w:szCs w:val="21"/>
        </w:rPr>
        <w:t xml:space="preserve">Auslöser. </w:t>
      </w:r>
      <w:r>
        <w:rPr>
          <w:rFonts w:ascii="Calibri" w:cs="Calibri" w:eastAsia="Calibri" w:hAnsi="Calibri"/>
          <w:sz w:val="21"/>
          <w:szCs w:val="21"/>
        </w:rPr>
        <w:t xml:space="preserve">Gewährleistungsrecht beim Tierkauf, Versicherungsbetrug, Tierschutzverfahren.</w:t>
      </w:r>
    </w:p>
    <w:p>
      <w:pPr>
        <w:spacing w:after="100" w:line="276"/>
      </w:pPr>
      <w:r>
        <w:rPr>
          <w:rFonts w:ascii="Calibri" w:cs="Calibri" w:eastAsia="Calibri" w:hAnsi="Calibri"/>
          <w:b/>
          <w:bCs/>
          <w:color w:val="1F3A5F"/>
          <w:sz w:val="21"/>
          <w:szCs w:val="21"/>
        </w:rPr>
        <w:t xml:space="preserve">Stand heute / Wettbewerb. </w:t>
      </w:r>
      <w:r>
        <w:rPr>
          <w:rFonts w:ascii="Calibri" w:cs="Calibri" w:eastAsia="Calibri" w:hAnsi="Calibri"/>
          <w:sz w:val="21"/>
          <w:szCs w:val="21"/>
        </w:rPr>
        <w:t xml:space="preserve">Praxis-Software für Tierärzte ohne Beweisschicht; keine spezialisierte Lösung.</w:t>
      </w:r>
    </w:p>
    <w:p>
      <w:pPr>
        <w:pStyle w:val="Heading3"/>
        <w:keepNext/>
        <w:spacing w:after="100" w:before="220"/>
      </w:pPr>
      <w:r>
        <w:t xml:space="preserve">Potenzielle Kunden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2000"/>
        <w:gridCol w:w="2700"/>
        <w:gridCol w:w="2238"/>
      </w:tblGrid>
      <w:tr>
        <w:trPr>
          <w:cantSplit/>
          <w:tblHeader/>
        </w:trPr>
        <w:tc>
          <w:tcPr>
            <w:tcW w:type="dxa" w:w="27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Organisation</w:t>
            </w:r>
          </w:p>
        </w:tc>
        <w:tc>
          <w:tcPr>
            <w:tcW w:type="dxa" w:w="20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Typ / Sitz</w:t>
            </w:r>
          </w:p>
        </w:tc>
        <w:tc>
          <w:tcPr>
            <w:tcW w:type="dxa" w:w="27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Zielrolle (Ansprechpartner)</w:t>
            </w:r>
          </w:p>
        </w:tc>
        <w:tc>
          <w:tcPr>
            <w:tcW w:type="dxa" w:w="2238"/>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Web / Zugang</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Gesellschaft für Pferdemedizin (GPM)</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Fachgesellschaft</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Vorstand; Arbeitskreis Ankaufsuntersuchung</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gpm-vet.de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Bundesverband Praktizierender Tierärzte (bpt)</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Verband, Frankfurt</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Geschäftsführung</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tieraerzteverband.de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Uelzener Versicherungen</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Tierversicherer, Uelzen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Schaden Pferd; Produkt</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uelzener.de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R+V Tierversicherung</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Versicherer, Wiesbaden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Schaden Tier</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ruv.de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Deutsche Reiterliche Vereinigung (FN)</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Dachverband, Warendorf</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Zucht; Recht</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pferd-aktuell.de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Hannoveraner Verband</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Zuchtverband/Auktionen, Verden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Auktionsleitung</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hannoveraner.com</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Tierärztliche Hochschule Hannover (Klinik für Pferde)</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Universitätsklinik, Hannover</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Klinikleitung</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tiho-hannover.de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Tierklinik Lüsche</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Pferdeklinik, Bakum</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Klinikleitung</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tierklinik-luesche.de</w:t>
            </w:r>
          </w:p>
        </w:tc>
      </w:tr>
    </w:tbl>
    <w:p>
      <w:pPr>
        <w:spacing w:after="80"/>
      </w:pPr>
    </w:p>
    <w:p>
      <w:pPr>
        <w:pStyle w:val="Heading3"/>
        <w:keepNext/>
        <w:spacing w:after="100" w:before="220"/>
      </w:pPr>
      <w:r>
        <w:t xml:space="preserve">Multiplikatoren und Zugang</w:t>
      </w:r>
    </w:p>
    <w:p>
      <w:pPr>
        <w:pStyle w:val="ListParagraph"/>
        <w:numPr>
          <w:ilvl w:val="0"/>
          <w:numId w:val="2"/>
        </w:numPr>
        <w:spacing w:after="60" w:line="276"/>
      </w:pPr>
      <w:r>
        <w:rPr>
          <w:rFonts w:ascii="Calibri" w:cs="Calibri" w:eastAsia="Calibri" w:hAnsi="Calibri"/>
          <w:sz w:val="21"/>
          <w:szCs w:val="21"/>
        </w:rPr>
        <w:t xml:space="preserve">Uelzener als Marktführer Pferdeversicherung.</w:t>
      </w:r>
    </w:p>
    <w:p>
      <w:pPr>
        <w:pStyle w:val="ListParagraph"/>
        <w:numPr>
          <w:ilvl w:val="0"/>
          <w:numId w:val="2"/>
        </w:numPr>
        <w:spacing w:after="60" w:line="276"/>
      </w:pPr>
      <w:r>
        <w:rPr>
          <w:rFonts w:ascii="Calibri" w:cs="Calibri" w:eastAsia="Calibri" w:hAnsi="Calibri"/>
          <w:sz w:val="21"/>
          <w:szCs w:val="21"/>
        </w:rPr>
        <w:t xml:space="preserve">GPM-Leitlinie zur Ankaufsuntersuchung.</w:t>
      </w:r>
    </w:p>
    <w:p>
      <w:pPr>
        <w:pStyle w:val="Heading3"/>
        <w:keepNext/>
        <w:spacing w:after="100" w:before="220"/>
      </w:pPr>
      <w:r>
        <w:t xml:space="preserve">Empfohlener Einstieg</w:t>
      </w:r>
    </w:p>
    <w:p>
      <w:pPr>
        <w:pStyle w:val="ListParagraph"/>
        <w:numPr>
          <w:ilvl w:val="0"/>
          <w:numId w:val="2"/>
        </w:numPr>
        <w:spacing w:after="60" w:line="276"/>
      </w:pPr>
      <w:r>
        <w:rPr>
          <w:rFonts w:ascii="Calibri" w:cs="Calibri" w:eastAsia="Calibri" w:hAnsi="Calibri"/>
          <w:sz w:val="21"/>
          <w:szCs w:val="21"/>
        </w:rPr>
        <w:t xml:space="preserve">Nischenprodukt 'beweissichere Ankaufsuntersuchung' mit einer Pferdeklinik und Uelzener.</w:t>
      </w:r>
    </w:p>
    <w:p>
      <w:pPr>
        <w:pStyle w:val="Heading2"/>
        <w:keepNext/>
        <w:spacing w:after="140" w:before="300"/>
      </w:pPr>
      <w:r>
        <w:t xml:space="preserve">G3 Kunst, Sammlerstücke, Luxusgüter</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928"/>
        <w:gridCol w:w="1928"/>
        <w:gridCol w:w="1928"/>
        <w:gridCol w:w="1927"/>
        <w:gridCol w:w="1927"/>
      </w:tblGrid>
      <w:tr>
        <w:trPr>
          <w:cantSplit/>
          <w:tblHeader w:val="false"/>
        </w:trPr>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Volumen</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Schmerz (1–5)</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Wettbewerb</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Nähe zur App</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Priorität</w:t>
            </w:r>
          </w:p>
        </w:tc>
      </w:tr>
      <w:tr>
        <w:trPr>
          <w:cantSplit/>
        </w:trPr>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niedrig</w:t>
            </w:r>
          </w:p>
        </w:tc>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3</w:t>
            </w:r>
          </w:p>
        </w:tc>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mittel</w:t>
            </w:r>
          </w:p>
        </w:tc>
        <w:tc>
          <w:tcPr>
            <w:tcW w:type="dxa" w:w="1927"/>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mittel</w:t>
            </w:r>
          </w:p>
        </w:tc>
        <w:tc>
          <w:tcPr>
            <w:tcW w:type="dxa" w:w="1927"/>
            <w:shd w:fill="F4F4F4"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8"/>
                <w:szCs w:val="18"/>
              </w:rPr>
              <w:t xml:space="preserve">C – beobachten / opportunistisch</w:t>
            </w:r>
          </w:p>
        </w:tc>
      </w:tr>
    </w:tbl>
    <w:p>
      <w:pPr>
        <w:spacing w:after="100"/>
      </w:pPr>
    </w:p>
    <w:p>
      <w:pPr>
        <w:spacing w:after="100" w:line="276"/>
      </w:pPr>
      <w:r>
        <w:rPr>
          <w:rFonts w:ascii="Calibri" w:cs="Calibri" w:eastAsia="Calibri" w:hAnsi="Calibri"/>
          <w:b/>
          <w:bCs/>
          <w:color w:val="1F3A5F"/>
          <w:sz w:val="21"/>
          <w:szCs w:val="21"/>
        </w:rPr>
        <w:t xml:space="preserve">Bedarf. </w:t>
      </w:r>
      <w:r>
        <w:rPr>
          <w:rFonts w:ascii="Calibri" w:cs="Calibri" w:eastAsia="Calibri" w:hAnsi="Calibri"/>
          <w:sz w:val="21"/>
          <w:szCs w:val="21"/>
        </w:rPr>
        <w:t xml:space="preserve">Condition Reports beim Transport, bei Leihgaben und Auktionen sind Standard, aber nicht beweissicher. Provenienz und Zustandsnachweis entscheiden über Versicherungsansprüche in Millionenhöhe. Luxusuhren und Sneaker haben ähnliche Streitfälle beim Versand.</w:t>
      </w:r>
    </w:p>
    <w:p>
      <w:pPr>
        <w:spacing w:after="100" w:line="276"/>
      </w:pPr>
      <w:r>
        <w:rPr>
          <w:rFonts w:ascii="Calibri" w:cs="Calibri" w:eastAsia="Calibri" w:hAnsi="Calibri"/>
          <w:b/>
          <w:bCs/>
          <w:color w:val="1F3A5F"/>
          <w:sz w:val="21"/>
          <w:szCs w:val="21"/>
        </w:rPr>
        <w:t xml:space="preserve">Wer bezahlt. </w:t>
      </w:r>
      <w:r>
        <w:rPr>
          <w:rFonts w:ascii="Calibri" w:cs="Calibri" w:eastAsia="Calibri" w:hAnsi="Calibri"/>
          <w:sz w:val="21"/>
          <w:szCs w:val="21"/>
        </w:rPr>
        <w:t xml:space="preserve">Kunstlogistiker, Auktionshäuser, Kunstversicherer, Museen, Galerien, Luxus-Marktplätze.</w:t>
      </w:r>
    </w:p>
    <w:p>
      <w:pPr>
        <w:spacing w:after="100" w:line="276"/>
      </w:pPr>
      <w:r>
        <w:rPr>
          <w:rFonts w:ascii="Calibri" w:cs="Calibri" w:eastAsia="Calibri" w:hAnsi="Calibri"/>
          <w:b/>
          <w:bCs/>
          <w:color w:val="1F3A5F"/>
          <w:sz w:val="21"/>
          <w:szCs w:val="21"/>
        </w:rPr>
        <w:t xml:space="preserve">Auslöser. </w:t>
      </w:r>
      <w:r>
        <w:rPr>
          <w:rFonts w:ascii="Calibri" w:cs="Calibri" w:eastAsia="Calibri" w:hAnsi="Calibri"/>
          <w:sz w:val="21"/>
          <w:szCs w:val="21"/>
        </w:rPr>
        <w:t xml:space="preserve">Transportschäden, Fälschungen, Versichererforderungen, Leihverkehr zwischen Museen.</w:t>
      </w:r>
    </w:p>
    <w:p>
      <w:pPr>
        <w:spacing w:after="100" w:line="276"/>
      </w:pPr>
      <w:r>
        <w:rPr>
          <w:rFonts w:ascii="Calibri" w:cs="Calibri" w:eastAsia="Calibri" w:hAnsi="Calibri"/>
          <w:b/>
          <w:bCs/>
          <w:color w:val="1F3A5F"/>
          <w:sz w:val="21"/>
          <w:szCs w:val="21"/>
        </w:rPr>
        <w:t xml:space="preserve">Stand heute / Wettbewerb. </w:t>
      </w:r>
      <w:r>
        <w:rPr>
          <w:rFonts w:ascii="Calibri" w:cs="Calibri" w:eastAsia="Calibri" w:hAnsi="Calibri"/>
          <w:sz w:val="21"/>
          <w:szCs w:val="21"/>
        </w:rPr>
        <w:t xml:space="preserve">Condition-Report-Apps (z. B. Articheck, UK) ohne Beweisschicht auf Geräteebene.</w:t>
      </w:r>
    </w:p>
    <w:p>
      <w:pPr>
        <w:pStyle w:val="Heading3"/>
        <w:keepNext/>
        <w:spacing w:after="100" w:before="220"/>
      </w:pPr>
      <w:r>
        <w:t xml:space="preserve">Potenzielle Kunden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2000"/>
        <w:gridCol w:w="2700"/>
        <w:gridCol w:w="2238"/>
      </w:tblGrid>
      <w:tr>
        <w:trPr>
          <w:cantSplit/>
          <w:tblHeader/>
        </w:trPr>
        <w:tc>
          <w:tcPr>
            <w:tcW w:type="dxa" w:w="27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Organisation</w:t>
            </w:r>
          </w:p>
        </w:tc>
        <w:tc>
          <w:tcPr>
            <w:tcW w:type="dxa" w:w="20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Typ / Sitz</w:t>
            </w:r>
          </w:p>
        </w:tc>
        <w:tc>
          <w:tcPr>
            <w:tcW w:type="dxa" w:w="27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Zielrolle (Ansprechpartner)</w:t>
            </w:r>
          </w:p>
        </w:tc>
        <w:tc>
          <w:tcPr>
            <w:tcW w:type="dxa" w:w="2238"/>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Web / Zugang</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hasenkamp Fine Art Logistics</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Kunstlogistik, Frechen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Operations; Registrar-Services</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hasenkamp.com</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Kunsttrans</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Kunstlogistik, Wien/Berlin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Geschäftsführung</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kunsttrans.com</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Ketterer Kunst</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Auktionshaus, München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Logistik; Condition Reports</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kettererkunst.de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Lempertz</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Auktionshaus, Köln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Geschäftsführung; Logistik</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lempertz.com</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Grisebach</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Auktionshaus, Berlin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Logistik; Registrar</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grisebach.com</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Van Ham</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Auktionshaus, Köln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Logistik</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van-ham.com</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AXA XL Art &amp; Lifestyle</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Kunstversicherer, Köln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Underwriting; Schaden Kunst</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axaxl.com</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Hiscox Deutschland</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Kunstversicherer, München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Art &amp; Private Clients; Schaden</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hiscox.de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Mannheimer Versicherung (ARTIMA)</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Kunstversicherer, Mannheim</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Kunstversicherung</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artima.de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Zilkens Fine Art Insurance Broker</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Makler, Köln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Geschäftsführung</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zilkens.com</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Deutscher Museumsbund</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Verband, Berlin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Arbeitskreis Registrare</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museumsbund.de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Chrono24</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Uhrenmarktplatz, Karlsruhe</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Trust &amp; Safety</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chrono24.de</w:t>
            </w:r>
          </w:p>
        </w:tc>
      </w:tr>
    </w:tbl>
    <w:p>
      <w:pPr>
        <w:spacing w:after="80"/>
      </w:pPr>
    </w:p>
    <w:p>
      <w:pPr>
        <w:pStyle w:val="Heading3"/>
        <w:keepNext/>
        <w:spacing w:after="100" w:before="220"/>
      </w:pPr>
      <w:r>
        <w:t xml:space="preserve">Multiplikatoren und Zugang</w:t>
      </w:r>
    </w:p>
    <w:p>
      <w:pPr>
        <w:pStyle w:val="ListParagraph"/>
        <w:numPr>
          <w:ilvl w:val="0"/>
          <w:numId w:val="2"/>
        </w:numPr>
        <w:spacing w:after="60" w:line="276"/>
      </w:pPr>
      <w:r>
        <w:rPr>
          <w:rFonts w:ascii="Calibri" w:cs="Calibri" w:eastAsia="Calibri" w:hAnsi="Calibri"/>
          <w:sz w:val="21"/>
          <w:szCs w:val="21"/>
        </w:rPr>
        <w:t xml:space="preserve">Kunstversicherer und Makler (Zilkens) schreiben Dokumentationsstandards vor.</w:t>
      </w:r>
    </w:p>
    <w:p>
      <w:pPr>
        <w:pStyle w:val="ListParagraph"/>
        <w:numPr>
          <w:ilvl w:val="0"/>
          <w:numId w:val="2"/>
        </w:numPr>
        <w:spacing w:after="60" w:line="276"/>
      </w:pPr>
      <w:r>
        <w:rPr>
          <w:rFonts w:ascii="Calibri" w:cs="Calibri" w:eastAsia="Calibri" w:hAnsi="Calibri"/>
          <w:sz w:val="21"/>
          <w:szCs w:val="21"/>
        </w:rPr>
        <w:t xml:space="preserve">Registrare-Arbeitskreis des Museumsbunds.</w:t>
      </w:r>
    </w:p>
    <w:p>
      <w:pPr>
        <w:pStyle w:val="Heading3"/>
        <w:keepNext/>
        <w:spacing w:after="100" w:before="220"/>
      </w:pPr>
      <w:r>
        <w:t xml:space="preserve">Empfohlener Einstieg</w:t>
      </w:r>
    </w:p>
    <w:p>
      <w:pPr>
        <w:pStyle w:val="ListParagraph"/>
        <w:numPr>
          <w:ilvl w:val="0"/>
          <w:numId w:val="2"/>
        </w:numPr>
        <w:spacing w:after="60" w:line="276"/>
      </w:pPr>
      <w:r>
        <w:rPr>
          <w:rFonts w:ascii="Calibri" w:cs="Calibri" w:eastAsia="Calibri" w:hAnsi="Calibri"/>
          <w:sz w:val="21"/>
          <w:szCs w:val="21"/>
        </w:rPr>
        <w:t xml:space="preserve">Kunstlogistiker als Pilot, Versicherer als Sponsor.</w:t>
      </w:r>
    </w:p>
    <w:p>
      <w:pPr>
        <w:pStyle w:val="Heading2"/>
        <w:keepNext/>
        <w:spacing w:after="140" w:before="300"/>
      </w:pPr>
      <w:r>
        <w:t xml:space="preserve">G4 Drohneninspektion (Brücken, Windkraft, Solar, Dächer)</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928"/>
        <w:gridCol w:w="1928"/>
        <w:gridCol w:w="1928"/>
        <w:gridCol w:w="1927"/>
        <w:gridCol w:w="1927"/>
      </w:tblGrid>
      <w:tr>
        <w:trPr>
          <w:cantSplit/>
          <w:tblHeader w:val="false"/>
        </w:trPr>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Volumen</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Schmerz (1–5)</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Wettbewerb</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Nähe zur App</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Priorität</w:t>
            </w:r>
          </w:p>
        </w:tc>
      </w:tr>
      <w:tr>
        <w:trPr>
          <w:cantSplit/>
        </w:trPr>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mittel</w:t>
            </w:r>
          </w:p>
        </w:tc>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3</w:t>
            </w:r>
          </w:p>
        </w:tc>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niedrig</w:t>
            </w:r>
          </w:p>
        </w:tc>
        <w:tc>
          <w:tcPr>
            <w:tcW w:type="dxa" w:w="1927"/>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mittel</w:t>
            </w:r>
          </w:p>
        </w:tc>
        <w:tc>
          <w:tcPr>
            <w:tcW w:type="dxa" w:w="1927"/>
            <w:shd w:fill="FFF2CC"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8"/>
                <w:szCs w:val="18"/>
              </w:rPr>
              <w:t xml:space="preserve">B – zweite Welle</w:t>
            </w:r>
          </w:p>
        </w:tc>
      </w:tr>
    </w:tbl>
    <w:p>
      <w:pPr>
        <w:spacing w:after="100"/>
      </w:pPr>
    </w:p>
    <w:p>
      <w:pPr>
        <w:spacing w:after="100" w:line="276"/>
      </w:pPr>
      <w:r>
        <w:rPr>
          <w:rFonts w:ascii="Calibri" w:cs="Calibri" w:eastAsia="Calibri" w:hAnsi="Calibri"/>
          <w:b/>
          <w:bCs/>
          <w:color w:val="1F3A5F"/>
          <w:sz w:val="21"/>
          <w:szCs w:val="21"/>
        </w:rPr>
        <w:t xml:space="preserve">Bedarf. </w:t>
      </w:r>
      <w:r>
        <w:rPr>
          <w:rFonts w:ascii="Calibri" w:cs="Calibri" w:eastAsia="Calibri" w:hAnsi="Calibri"/>
          <w:sz w:val="21"/>
          <w:szCs w:val="21"/>
        </w:rPr>
        <w:t xml:space="preserve">Aus Drohnenbildern folgen Stilllegungen, Sanierungsentscheidungen und Ertragsausfallzahlungen. Bauwerksprüfung nach DIN 1076, Rotorblattinspektion, Solarpark-Thermografie und Dachgutachten werden per Drohne erstellt, ohne dass die Bilder gegen Manipulation gesichert sind.</w:t>
      </w:r>
    </w:p>
    <w:p>
      <w:pPr>
        <w:spacing w:after="100" w:line="276"/>
      </w:pPr>
      <w:r>
        <w:rPr>
          <w:rFonts w:ascii="Calibri" w:cs="Calibri" w:eastAsia="Calibri" w:hAnsi="Calibri"/>
          <w:b/>
          <w:bCs/>
          <w:color w:val="1F3A5F"/>
          <w:sz w:val="21"/>
          <w:szCs w:val="21"/>
        </w:rPr>
        <w:t xml:space="preserve">Wer bezahlt. </w:t>
      </w:r>
      <w:r>
        <w:rPr>
          <w:rFonts w:ascii="Calibri" w:cs="Calibri" w:eastAsia="Calibri" w:hAnsi="Calibri"/>
          <w:sz w:val="21"/>
          <w:szCs w:val="21"/>
        </w:rPr>
        <w:t xml:space="preserve">Infrastrukturbetreiber, Windpark- und Solarparkbetreiber, Serviceunternehmen, Drohnendienstleister, Versicherer, Dachdecker.</w:t>
      </w:r>
    </w:p>
    <w:p>
      <w:pPr>
        <w:spacing w:after="100" w:line="276"/>
      </w:pPr>
      <w:r>
        <w:rPr>
          <w:rFonts w:ascii="Calibri" w:cs="Calibri" w:eastAsia="Calibri" w:hAnsi="Calibri"/>
          <w:b/>
          <w:bCs/>
          <w:color w:val="1F3A5F"/>
          <w:sz w:val="21"/>
          <w:szCs w:val="21"/>
        </w:rPr>
        <w:t xml:space="preserve">Auslöser. </w:t>
      </w:r>
      <w:r>
        <w:rPr>
          <w:rFonts w:ascii="Calibri" w:cs="Calibri" w:eastAsia="Calibri" w:hAnsi="Calibri"/>
          <w:sz w:val="21"/>
          <w:szCs w:val="21"/>
        </w:rPr>
        <w:t xml:space="preserve">Brückenzustand in Deutschland, Repowering und Gewährleistung bei Windanlagen, Versicherungsstreit bei Ertragsausfall, Sturmschäden an Dächern.</w:t>
      </w:r>
    </w:p>
    <w:p>
      <w:pPr>
        <w:spacing w:after="100" w:line="276"/>
      </w:pPr>
      <w:r>
        <w:rPr>
          <w:rFonts w:ascii="Calibri" w:cs="Calibri" w:eastAsia="Calibri" w:hAnsi="Calibri"/>
          <w:b/>
          <w:bCs/>
          <w:color w:val="1F3A5F"/>
          <w:sz w:val="21"/>
          <w:szCs w:val="21"/>
        </w:rPr>
        <w:t xml:space="preserve">Stand heute / Wettbewerb. </w:t>
      </w:r>
      <w:r>
        <w:rPr>
          <w:rFonts w:ascii="Calibri" w:cs="Calibri" w:eastAsia="Calibri" w:hAnsi="Calibri"/>
          <w:sz w:val="21"/>
          <w:szCs w:val="21"/>
        </w:rPr>
        <w:t xml:space="preserve">Drohnensoftware (FlyNex, Spleenlab, Pix4D) für Flug und Auswertung, keine Beweisschicht. Kamerahersteller (DJI) ohne C2PA.</w:t>
      </w:r>
    </w:p>
    <w:p>
      <w:pPr>
        <w:pStyle w:val="Heading3"/>
        <w:keepNext/>
        <w:spacing w:after="100" w:before="220"/>
      </w:pPr>
      <w:r>
        <w:t xml:space="preserve">Potenzielle Kunden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2000"/>
        <w:gridCol w:w="2700"/>
        <w:gridCol w:w="2238"/>
      </w:tblGrid>
      <w:tr>
        <w:trPr>
          <w:cantSplit/>
          <w:tblHeader/>
        </w:trPr>
        <w:tc>
          <w:tcPr>
            <w:tcW w:type="dxa" w:w="27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Organisation</w:t>
            </w:r>
          </w:p>
        </w:tc>
        <w:tc>
          <w:tcPr>
            <w:tcW w:type="dxa" w:w="20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Typ / Sitz</w:t>
            </w:r>
          </w:p>
        </w:tc>
        <w:tc>
          <w:tcPr>
            <w:tcW w:type="dxa" w:w="27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Zielrolle (Ansprechpartner)</w:t>
            </w:r>
          </w:p>
        </w:tc>
        <w:tc>
          <w:tcPr>
            <w:tcW w:type="dxa" w:w="2238"/>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Web / Zugang</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DB InfraGO</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Bahninfrastruktur, Frankfurt</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Bauwerksprüfung; Digitalisierung</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dbinfrago.com</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Die Autobahn GmbH</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Straßenbaulastträger, Berlin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Brückenprüfung; Innovation</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autobahn.de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DEGES</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Projektmanagement Bundesfernstraßen, Berlin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Bauwerksprüfung</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deges.de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Deutsche Windtechnik</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Windkraft-Service, Bremen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Rotorblattservice; Inspektion</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deutsche-windtechnik.com</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Enercon</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Windkraftanlagenhersteller, Aurich</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Service; Qualitätssicherung</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enercon.de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Nordex</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Windkraftanlagenhersteller, Hamburg</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Service</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nordex-online.com</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wpd</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Windparkbetreiber, Bremen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Betriebsführung</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wpd.de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RWE Renewables</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Betreiber, Essen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Asset Management; Inspection</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rwe.com</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BayWa r.e.</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Solar/Wind-Betreiber, München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Operations &amp; Maintenance</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baywa-re.com</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Encavis</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Solarparkbetreiber, Hamburg</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Asset Management</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encavis.com</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FairFleet</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Drohnendienstleister-Plattform, München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Product; Operations</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fairfleet.com</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FlyNex</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Drohnensoftware, Leipzig</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Produktmanagement; Partner</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flynex.de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Spleenlab</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Drohnen-KI, Saalburg</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Business Development</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spleenlab.com</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Bundesverband WindEnergie (BWE)</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Verband, Berlin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Arbeitskreis Betrieb/Service</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wind-energie.de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UAV DACH</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Drohnenverband</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Geschäftsführung</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uavdach.org</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Zentralverband des Deutschen Dachdeckerhandwerks (ZVDH)</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Verband, Köln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Technik; Digitalisierung</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dachdecker.de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Gothaer (Erneuerbare Energien)</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Versicherer, Köln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Underwriting/Schaden Erneuerbare</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gothaer.de</w:t>
            </w:r>
          </w:p>
        </w:tc>
      </w:tr>
    </w:tbl>
    <w:p>
      <w:pPr>
        <w:spacing w:after="80"/>
      </w:pPr>
    </w:p>
    <w:p>
      <w:pPr>
        <w:pStyle w:val="Heading3"/>
        <w:keepNext/>
        <w:spacing w:after="100" w:before="220"/>
      </w:pPr>
      <w:r>
        <w:t xml:space="preserve">Multiplikatoren und Zugang</w:t>
      </w:r>
    </w:p>
    <w:p>
      <w:pPr>
        <w:pStyle w:val="ListParagraph"/>
        <w:numPr>
          <w:ilvl w:val="0"/>
          <w:numId w:val="2"/>
        </w:numPr>
        <w:spacing w:after="60" w:line="276"/>
      </w:pPr>
      <w:r>
        <w:rPr>
          <w:rFonts w:ascii="Calibri" w:cs="Calibri" w:eastAsia="Calibri" w:hAnsi="Calibri"/>
          <w:sz w:val="21"/>
          <w:szCs w:val="21"/>
        </w:rPr>
        <w:t xml:space="preserve">Drohnensoftware-Anbieter (FlyNex, FairFleet) als Integrationspartner für viele Dienstleister.</w:t>
      </w:r>
    </w:p>
    <w:p>
      <w:pPr>
        <w:pStyle w:val="ListParagraph"/>
        <w:numPr>
          <w:ilvl w:val="0"/>
          <w:numId w:val="2"/>
        </w:numPr>
        <w:spacing w:after="60" w:line="276"/>
      </w:pPr>
      <w:r>
        <w:rPr>
          <w:rFonts w:ascii="Calibri" w:cs="Calibri" w:eastAsia="Calibri" w:hAnsi="Calibri"/>
          <w:sz w:val="21"/>
          <w:szCs w:val="21"/>
        </w:rPr>
        <w:t xml:space="preserve">Messen: WindEnergy Hamburg, Intersolar München, Intergeo.</w:t>
      </w:r>
    </w:p>
    <w:p>
      <w:pPr>
        <w:pStyle w:val="Heading3"/>
        <w:keepNext/>
        <w:spacing w:after="100" w:before="220"/>
      </w:pPr>
      <w:r>
        <w:t xml:space="preserve">Empfohlener Einstieg</w:t>
      </w:r>
    </w:p>
    <w:p>
      <w:pPr>
        <w:pStyle w:val="ListParagraph"/>
        <w:numPr>
          <w:ilvl w:val="0"/>
          <w:numId w:val="2"/>
        </w:numPr>
        <w:spacing w:after="60" w:line="276"/>
      </w:pPr>
      <w:r>
        <w:rPr>
          <w:rFonts w:ascii="Calibri" w:cs="Calibri" w:eastAsia="Calibri" w:hAnsi="Calibri"/>
          <w:sz w:val="21"/>
          <w:szCs w:val="21"/>
        </w:rPr>
        <w:t xml:space="preserve">SDK/Integration in Drohnen-Workflow statt eigener App; Pilot mit Deutsche Windtechnik oder FlyNex.</w:t>
      </w:r>
    </w:p>
    <w:p>
      <w:pPr>
        <w:pStyle w:val="Heading2"/>
        <w:keepNext/>
        <w:spacing w:after="140" w:before="300"/>
      </w:pPr>
      <w:r>
        <w:t xml:space="preserve">G5 Industrie, Instandhaltung, MRO</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928"/>
        <w:gridCol w:w="1928"/>
        <w:gridCol w:w="1928"/>
        <w:gridCol w:w="1927"/>
        <w:gridCol w:w="1927"/>
      </w:tblGrid>
      <w:tr>
        <w:trPr>
          <w:cantSplit/>
          <w:tblHeader w:val="false"/>
        </w:trPr>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Volumen</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Schmerz (1–5)</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Wettbewerb</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Nähe zur App</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Priorität</w:t>
            </w:r>
          </w:p>
        </w:tc>
      </w:tr>
      <w:tr>
        <w:trPr>
          <w:cantSplit/>
        </w:trPr>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hoch</w:t>
            </w:r>
          </w:p>
        </w:tc>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3</w:t>
            </w:r>
          </w:p>
        </w:tc>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mittel</w:t>
            </w:r>
          </w:p>
        </w:tc>
        <w:tc>
          <w:tcPr>
            <w:tcW w:type="dxa" w:w="1927"/>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mittel</w:t>
            </w:r>
          </w:p>
        </w:tc>
        <w:tc>
          <w:tcPr>
            <w:tcW w:type="dxa" w:w="1927"/>
            <w:shd w:fill="F4F4F4"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8"/>
                <w:szCs w:val="18"/>
              </w:rPr>
              <w:t xml:space="preserve">C – beobachten / opportunistisch</w:t>
            </w:r>
          </w:p>
        </w:tc>
      </w:tr>
    </w:tbl>
    <w:p>
      <w:pPr>
        <w:spacing w:after="100"/>
      </w:pPr>
    </w:p>
    <w:p>
      <w:pPr>
        <w:spacing w:after="100" w:line="276"/>
      </w:pPr>
      <w:r>
        <w:rPr>
          <w:rFonts w:ascii="Calibri" w:cs="Calibri" w:eastAsia="Calibri" w:hAnsi="Calibri"/>
          <w:b/>
          <w:bCs/>
          <w:color w:val="1F3A5F"/>
          <w:sz w:val="21"/>
          <w:szCs w:val="21"/>
        </w:rPr>
        <w:t xml:space="preserve">Bedarf. </w:t>
      </w:r>
      <w:r>
        <w:rPr>
          <w:rFonts w:ascii="Calibri" w:cs="Calibri" w:eastAsia="Calibri" w:hAnsi="Calibri"/>
          <w:sz w:val="21"/>
          <w:szCs w:val="21"/>
        </w:rPr>
        <w:t xml:space="preserve">Wartungs- und Prüfnachweise an regulierten Anlagen (Druckbehälter, Aufzüge, Luftfahrt, Chemieparks, Schienenfahrzeuge) müssen jahrelang belastbar sein. Bei Unfällen und Audits werden Fotos aus der Instandhaltung als Beleg herangezogen. Luftfahrt-MRO hat strenge Nachweispflichten (EASA Part 145).</w:t>
      </w:r>
    </w:p>
    <w:p>
      <w:pPr>
        <w:spacing w:after="100" w:line="276"/>
      </w:pPr>
      <w:r>
        <w:rPr>
          <w:rFonts w:ascii="Calibri" w:cs="Calibri" w:eastAsia="Calibri" w:hAnsi="Calibri"/>
          <w:b/>
          <w:bCs/>
          <w:color w:val="1F3A5F"/>
          <w:sz w:val="21"/>
          <w:szCs w:val="21"/>
        </w:rPr>
        <w:t xml:space="preserve">Wer bezahlt. </w:t>
      </w:r>
      <w:r>
        <w:rPr>
          <w:rFonts w:ascii="Calibri" w:cs="Calibri" w:eastAsia="Calibri" w:hAnsi="Calibri"/>
          <w:sz w:val="21"/>
          <w:szCs w:val="21"/>
        </w:rPr>
        <w:t xml:space="preserve">Instandhalter, Industriedienstleister, Prüforganisationen, Betreiber, Bahnwerkstätten.</w:t>
      </w:r>
    </w:p>
    <w:p>
      <w:pPr>
        <w:spacing w:after="100" w:line="276"/>
      </w:pPr>
      <w:r>
        <w:rPr>
          <w:rFonts w:ascii="Calibri" w:cs="Calibri" w:eastAsia="Calibri" w:hAnsi="Calibri"/>
          <w:b/>
          <w:bCs/>
          <w:color w:val="1F3A5F"/>
          <w:sz w:val="21"/>
          <w:szCs w:val="21"/>
        </w:rPr>
        <w:t xml:space="preserve">Auslöser. </w:t>
      </w:r>
      <w:r>
        <w:rPr>
          <w:rFonts w:ascii="Calibri" w:cs="Calibri" w:eastAsia="Calibri" w:hAnsi="Calibri"/>
          <w:sz w:val="21"/>
          <w:szCs w:val="21"/>
        </w:rPr>
        <w:t xml:space="preserve">Betriebssicherheitsverordnung, EASA-Vorgaben, Produkthaftung, Auditanforderungen.</w:t>
      </w:r>
    </w:p>
    <w:p>
      <w:pPr>
        <w:spacing w:after="100" w:line="276"/>
      </w:pPr>
      <w:r>
        <w:rPr>
          <w:rFonts w:ascii="Calibri" w:cs="Calibri" w:eastAsia="Calibri" w:hAnsi="Calibri"/>
          <w:b/>
          <w:bCs/>
          <w:color w:val="1F3A5F"/>
          <w:sz w:val="21"/>
          <w:szCs w:val="21"/>
        </w:rPr>
        <w:t xml:space="preserve">Stand heute / Wettbewerb. </w:t>
      </w:r>
      <w:r>
        <w:rPr>
          <w:rFonts w:ascii="Calibri" w:cs="Calibri" w:eastAsia="Calibri" w:hAnsi="Calibri"/>
          <w:sz w:val="21"/>
          <w:szCs w:val="21"/>
        </w:rPr>
        <w:t xml:space="preserve">Instandhaltungssysteme (SAP PM, IBM Maximo) und Inspektions-Apps ohne Beweisschicht.</w:t>
      </w:r>
    </w:p>
    <w:p>
      <w:pPr>
        <w:pStyle w:val="Heading3"/>
        <w:keepNext/>
        <w:spacing w:after="100" w:before="220"/>
      </w:pPr>
      <w:r>
        <w:t xml:space="preserve">Potenzielle Kunden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2000"/>
        <w:gridCol w:w="2700"/>
        <w:gridCol w:w="2238"/>
      </w:tblGrid>
      <w:tr>
        <w:trPr>
          <w:cantSplit/>
          <w:tblHeader/>
        </w:trPr>
        <w:tc>
          <w:tcPr>
            <w:tcW w:type="dxa" w:w="27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Organisation</w:t>
            </w:r>
          </w:p>
        </w:tc>
        <w:tc>
          <w:tcPr>
            <w:tcW w:type="dxa" w:w="20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Typ / Sitz</w:t>
            </w:r>
          </w:p>
        </w:tc>
        <w:tc>
          <w:tcPr>
            <w:tcW w:type="dxa" w:w="27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Zielrolle (Ansprechpartner)</w:t>
            </w:r>
          </w:p>
        </w:tc>
        <w:tc>
          <w:tcPr>
            <w:tcW w:type="dxa" w:w="2238"/>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Web / Zugang</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Lufthansa Technik</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Luftfahrt-MRO, Hamburg</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Digital Innovation; Quality</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lufthansa-technik.com</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MTU Maintenance</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Triebwerks-MRO, Langenhagen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Quality Management</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mtu.de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Bilfinger</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Industriedienstleister, Mannheim</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Digitalisierung; Maintenance</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bilfinger.com</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TÜV NORD</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Prüforganisation, Hannover</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Industrie Service; Digital</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tuev-nord.de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TÜV SÜD Industrie Service</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Prüforganisation, München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Digitalisierung Prüfwesen</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tuvsud.com</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TÜV Rheinland</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Prüforganisation, Köln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Industrie Service</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tuv.com</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DEKRA Industrial</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Prüforganisation, Stuttgart</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Industrieprüfung; Digital</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dekra.de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Siemens Energy</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Anlagenbauer/Service, München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Service Digitalization</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siemens-energy.com</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Currenta</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Chemiepark-Betreiber, Leverkusen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Instandhaltung; Sicherheit</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currenta.de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Infraserv Höchst</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Industriepark-Betreiber, Frankfurt</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Instandhaltung</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infraserv.com</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DB Fahrzeuginstandhaltung</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Bahnwerkstätten, Frankfurt</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Qualität; Digitalisierung</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deutschebahn.com</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VDMA</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Verband Maschinenbau, Frankfurt</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Fachverband Instandhaltung/Services</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vdma.org</w:t>
            </w:r>
          </w:p>
        </w:tc>
      </w:tr>
    </w:tbl>
    <w:p>
      <w:pPr>
        <w:spacing w:after="80"/>
      </w:pPr>
    </w:p>
    <w:p>
      <w:pPr>
        <w:pStyle w:val="Heading3"/>
        <w:keepNext/>
        <w:spacing w:after="100" w:before="220"/>
      </w:pPr>
      <w:r>
        <w:t xml:space="preserve">Multiplikatoren und Zugang</w:t>
      </w:r>
    </w:p>
    <w:p>
      <w:pPr>
        <w:pStyle w:val="ListParagraph"/>
        <w:numPr>
          <w:ilvl w:val="0"/>
          <w:numId w:val="2"/>
        </w:numPr>
        <w:spacing w:after="60" w:line="276"/>
      </w:pPr>
      <w:r>
        <w:rPr>
          <w:rFonts w:ascii="Calibri" w:cs="Calibri" w:eastAsia="Calibri" w:hAnsi="Calibri"/>
          <w:sz w:val="21"/>
          <w:szCs w:val="21"/>
        </w:rPr>
        <w:t xml:space="preserve">Prüforganisationen (TÜV, Dekra) definieren Nachweisformate für Betreiber.</w:t>
      </w:r>
    </w:p>
    <w:p>
      <w:pPr>
        <w:pStyle w:val="ListParagraph"/>
        <w:numPr>
          <w:ilvl w:val="0"/>
          <w:numId w:val="2"/>
        </w:numPr>
        <w:spacing w:after="60" w:line="276"/>
      </w:pPr>
      <w:r>
        <w:rPr>
          <w:rFonts w:ascii="Calibri" w:cs="Calibri" w:eastAsia="Calibri" w:hAnsi="Calibri"/>
          <w:sz w:val="21"/>
          <w:szCs w:val="21"/>
        </w:rPr>
        <w:t xml:space="preserve">Messe Maintenance Dortmund, Hannover Messe.</w:t>
      </w:r>
    </w:p>
    <w:p>
      <w:pPr>
        <w:pStyle w:val="Heading3"/>
        <w:keepNext/>
        <w:spacing w:after="100" w:before="220"/>
      </w:pPr>
      <w:r>
        <w:t xml:space="preserve">Empfohlener Einstieg</w:t>
      </w:r>
    </w:p>
    <w:p>
      <w:pPr>
        <w:pStyle w:val="ListParagraph"/>
        <w:numPr>
          <w:ilvl w:val="0"/>
          <w:numId w:val="2"/>
        </w:numPr>
        <w:spacing w:after="60" w:line="276"/>
      </w:pPr>
      <w:r>
        <w:rPr>
          <w:rFonts w:ascii="Calibri" w:cs="Calibri" w:eastAsia="Calibri" w:hAnsi="Calibri"/>
          <w:sz w:val="21"/>
          <w:szCs w:val="21"/>
        </w:rPr>
        <w:t xml:space="preserve">Prüforganisation als Partner: Beweisfoto als Bestandteil des Prüfberichts.</w:t>
      </w:r>
    </w:p>
    <w:p>
      <w:r>
        <w:br w:type="page"/>
      </w:r>
    </w:p>
    <w:p>
      <w:pPr>
        <w:pStyle w:val="Heading1"/>
        <w:keepNext/>
        <w:spacing w:after="200" w:before="360"/>
      </w:pPr>
      <w:r>
        <w:t xml:space="preserve">11. Gesundheit, Betreuung, Justiz (Feld H)</w:t>
      </w:r>
    </w:p>
    <w:p>
      <w:pPr>
        <w:spacing w:after="120" w:before="0" w:line="276"/>
      </w:pPr>
      <w:r>
        <w:rPr>
          <w:rFonts w:ascii="Calibri" w:cs="Calibri" w:eastAsia="Calibri" w:hAnsi="Calibri"/>
          <w:sz w:val="21"/>
          <w:szCs w:val="21"/>
        </w:rPr>
        <w:t xml:space="preserve">Sensible Bereiche mit hohem Beweisbedarf und langen Verkaufszyklen. Datenschutz und Beschaffungsrecht bremsen, dafür ist der Bedarf strukturell und die Konkurrenz gering.</w:t>
      </w:r>
    </w:p>
    <w:p>
      <w:pPr>
        <w:pStyle w:val="Heading2"/>
        <w:keepNext/>
        <w:spacing w:after="140" w:before="300"/>
      </w:pPr>
      <w:r>
        <w:t xml:space="preserve">H1 Pflege (Wund-, Sturz- und Zustandsdokumentation)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928"/>
        <w:gridCol w:w="1928"/>
        <w:gridCol w:w="1928"/>
        <w:gridCol w:w="1927"/>
        <w:gridCol w:w="1927"/>
      </w:tblGrid>
      <w:tr>
        <w:trPr>
          <w:cantSplit/>
          <w:tblHeader w:val="false"/>
        </w:trPr>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Volumen</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Schmerz (1–5)</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Wettbewerb</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Nähe zur App</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Priorität</w:t>
            </w:r>
          </w:p>
        </w:tc>
      </w:tr>
      <w:tr>
        <w:trPr>
          <w:cantSplit/>
        </w:trPr>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hoch</w:t>
            </w:r>
          </w:p>
        </w:tc>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4</w:t>
            </w:r>
          </w:p>
        </w:tc>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mittel</w:t>
            </w:r>
          </w:p>
        </w:tc>
        <w:tc>
          <w:tcPr>
            <w:tcW w:type="dxa" w:w="1927"/>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niedrig</w:t>
            </w:r>
          </w:p>
        </w:tc>
        <w:tc>
          <w:tcPr>
            <w:tcW w:type="dxa" w:w="1927"/>
            <w:shd w:fill="F4F4F4"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8"/>
                <w:szCs w:val="18"/>
              </w:rPr>
              <w:t xml:space="preserve">C – beobachten / opportunistisch</w:t>
            </w:r>
          </w:p>
        </w:tc>
      </w:tr>
    </w:tbl>
    <w:p>
      <w:pPr>
        <w:spacing w:after="100"/>
      </w:pPr>
    </w:p>
    <w:p>
      <w:pPr>
        <w:spacing w:after="100" w:line="276"/>
      </w:pPr>
      <w:r>
        <w:rPr>
          <w:rFonts w:ascii="Calibri" w:cs="Calibri" w:eastAsia="Calibri" w:hAnsi="Calibri"/>
          <w:b/>
          <w:bCs/>
          <w:color w:val="1F3A5F"/>
          <w:sz w:val="21"/>
          <w:szCs w:val="21"/>
        </w:rPr>
        <w:t xml:space="preserve">Bedarf. </w:t>
      </w:r>
      <w:r>
        <w:rPr>
          <w:rFonts w:ascii="Calibri" w:cs="Calibri" w:eastAsia="Calibri" w:hAnsi="Calibri"/>
          <w:sz w:val="21"/>
          <w:szCs w:val="21"/>
        </w:rPr>
        <w:t xml:space="preserve">Dekubitus-, Sturz- und Zustandsdokumentation entscheidet über Haftung des Heims, Pflegegrad und Streit mit Angehörigen. Der Medizinische Dienst und die Heimaufsicht prüfen Dokumentationen. Fotos sind Standard, ihre Echtheit und ihr Zeitpunkt nicht gesichert.</w:t>
      </w:r>
    </w:p>
    <w:p>
      <w:pPr>
        <w:spacing w:after="100" w:line="276"/>
      </w:pPr>
      <w:r>
        <w:rPr>
          <w:rFonts w:ascii="Calibri" w:cs="Calibri" w:eastAsia="Calibri" w:hAnsi="Calibri"/>
          <w:b/>
          <w:bCs/>
          <w:color w:val="1F3A5F"/>
          <w:sz w:val="21"/>
          <w:szCs w:val="21"/>
        </w:rPr>
        <w:t xml:space="preserve">Wer bezahlt. </w:t>
      </w:r>
      <w:r>
        <w:rPr>
          <w:rFonts w:ascii="Calibri" w:cs="Calibri" w:eastAsia="Calibri" w:hAnsi="Calibri"/>
          <w:sz w:val="21"/>
          <w:szCs w:val="21"/>
        </w:rPr>
        <w:t xml:space="preserve">Pflegeheimbetreiber, ambulante Dienste, Wohlfahrtsverbände, Pflegesoftware-Anbieter, Heimaufsicht.</w:t>
      </w:r>
    </w:p>
    <w:p>
      <w:pPr>
        <w:spacing w:after="100" w:line="276"/>
      </w:pPr>
      <w:r>
        <w:rPr>
          <w:rFonts w:ascii="Calibri" w:cs="Calibri" w:eastAsia="Calibri" w:hAnsi="Calibri"/>
          <w:b/>
          <w:bCs/>
          <w:color w:val="1F3A5F"/>
          <w:sz w:val="21"/>
          <w:szCs w:val="21"/>
        </w:rPr>
        <w:t xml:space="preserve">Auslöser. </w:t>
      </w:r>
      <w:r>
        <w:rPr>
          <w:rFonts w:ascii="Calibri" w:cs="Calibri" w:eastAsia="Calibri" w:hAnsi="Calibri"/>
          <w:sz w:val="21"/>
          <w:szCs w:val="21"/>
        </w:rPr>
        <w:t xml:space="preserve">Haftungsfälle, Qualitätsprüfungen, Personalmangel, Digitalisierung der Pflegedokumentation.</w:t>
      </w:r>
    </w:p>
    <w:p>
      <w:pPr>
        <w:spacing w:after="100" w:line="276"/>
      </w:pPr>
      <w:r>
        <w:rPr>
          <w:rFonts w:ascii="Calibri" w:cs="Calibri" w:eastAsia="Calibri" w:hAnsi="Calibri"/>
          <w:b/>
          <w:bCs/>
          <w:color w:val="1F3A5F"/>
          <w:sz w:val="21"/>
          <w:szCs w:val="21"/>
        </w:rPr>
        <w:t xml:space="preserve">Stand heute / Wettbewerb. </w:t>
      </w:r>
      <w:r>
        <w:rPr>
          <w:rFonts w:ascii="Calibri" w:cs="Calibri" w:eastAsia="Calibri" w:hAnsi="Calibri"/>
          <w:sz w:val="21"/>
          <w:szCs w:val="21"/>
        </w:rPr>
        <w:t xml:space="preserve">Pflegesoftware (Vivendi, Medifox Dan) mit Fotofunktion ohne Beweisschicht. Wundmanagement-Apps ohne Herkunftsnachweis.</w:t>
      </w:r>
    </w:p>
    <w:p>
      <w:pPr>
        <w:pStyle w:val="Heading3"/>
        <w:keepNext/>
        <w:spacing w:after="100" w:before="220"/>
      </w:pPr>
      <w:r>
        <w:t xml:space="preserve">Potenzielle Kunden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2000"/>
        <w:gridCol w:w="2700"/>
        <w:gridCol w:w="2238"/>
      </w:tblGrid>
      <w:tr>
        <w:trPr>
          <w:cantSplit/>
          <w:tblHeader/>
        </w:trPr>
        <w:tc>
          <w:tcPr>
            <w:tcW w:type="dxa" w:w="27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Organisation</w:t>
            </w:r>
          </w:p>
        </w:tc>
        <w:tc>
          <w:tcPr>
            <w:tcW w:type="dxa" w:w="20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Typ / Sitz</w:t>
            </w:r>
          </w:p>
        </w:tc>
        <w:tc>
          <w:tcPr>
            <w:tcW w:type="dxa" w:w="27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Zielrolle (Ansprechpartner)</w:t>
            </w:r>
          </w:p>
        </w:tc>
        <w:tc>
          <w:tcPr>
            <w:tcW w:type="dxa" w:w="2238"/>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Web / Zugang</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Korian Deutschland (Clariane)</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Heimbetreiber, München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Qualitätsmanagement; Digitalisierung</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korian.de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Alloheim Senioren-Residenzen</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Heimbetreiber, Düsseldorf</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Qualitätsmanagement</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alloheim.de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Pro Seniore</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Heimbetreiber, Saarbrücken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Qualitätsmanagement</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pro-seniore.de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Kursana</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Heimbetreiber, Berlin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Qualität; IT</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kursana.de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Diakonie Deutschland</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Wohlfahrtsverband, Berlin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Zentrum Gesundheit, Rehabilitation und Pflege</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diakonie.de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Deutscher Caritasverband</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Wohlfahrtsverband, Freiburg</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Referat Alter, Pflege</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caritas.de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AWO Bundesverband</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Wohlfahrtsverband, Berlin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Abteilung Pflege</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awo.org</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bpa Bundesverband privater Anbieter sozialer Dienste</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Verband, Berlin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Geschäftsführung; Qualität</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bpa.de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Medizinischer Dienst Bund</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Prüfinstanz, Essen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Qualitätsprüfung Pflege</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md-bund.de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Connext (Vivendi)</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Pflegesoftware, Paderborn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Produktmanagement; Partner</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connext.de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MEDIFOX DAN</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Pflegesoftware, Hildesheim</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Produktmanagement; Partner</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medifoxdan.de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PAUL HARTMANN AG</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Wundversorgung, Heidenheim</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Digital Health; Wundmanagement</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hartmann.info</w:t>
            </w:r>
          </w:p>
        </w:tc>
      </w:tr>
    </w:tbl>
    <w:p>
      <w:pPr>
        <w:spacing w:after="80"/>
      </w:pPr>
    </w:p>
    <w:p>
      <w:pPr>
        <w:pStyle w:val="Heading3"/>
        <w:keepNext/>
        <w:spacing w:after="100" w:before="220"/>
      </w:pPr>
      <w:r>
        <w:t xml:space="preserve">Multiplikatoren und Zugang</w:t>
      </w:r>
    </w:p>
    <w:p>
      <w:pPr>
        <w:pStyle w:val="ListParagraph"/>
        <w:numPr>
          <w:ilvl w:val="0"/>
          <w:numId w:val="2"/>
        </w:numPr>
        <w:spacing w:after="60" w:line="276"/>
      </w:pPr>
      <w:r>
        <w:rPr>
          <w:rFonts w:ascii="Calibri" w:cs="Calibri" w:eastAsia="Calibri" w:hAnsi="Calibri"/>
          <w:sz w:val="21"/>
          <w:szCs w:val="21"/>
        </w:rPr>
        <w:t xml:space="preserve">Pflegesoftware-Anbieter als Integrationspartner in tausende Einrichtungen.</w:t>
      </w:r>
    </w:p>
    <w:p>
      <w:pPr>
        <w:pStyle w:val="ListParagraph"/>
        <w:numPr>
          <w:ilvl w:val="0"/>
          <w:numId w:val="2"/>
        </w:numPr>
        <w:spacing w:after="60" w:line="276"/>
      </w:pPr>
      <w:r>
        <w:rPr>
          <w:rFonts w:ascii="Calibri" w:cs="Calibri" w:eastAsia="Calibri" w:hAnsi="Calibri"/>
          <w:sz w:val="21"/>
          <w:szCs w:val="21"/>
        </w:rPr>
        <w:t xml:space="preserve">Messe ALTENPFLEGE (Nürnberg/Essen).</w:t>
      </w:r>
    </w:p>
    <w:p>
      <w:pPr>
        <w:pStyle w:val="Heading3"/>
        <w:keepNext/>
        <w:spacing w:after="100" w:before="220"/>
      </w:pPr>
      <w:r>
        <w:t xml:space="preserve">Empfohlener Einstieg</w:t>
      </w:r>
    </w:p>
    <w:p>
      <w:pPr>
        <w:pStyle w:val="ListParagraph"/>
        <w:numPr>
          <w:ilvl w:val="0"/>
          <w:numId w:val="2"/>
        </w:numPr>
        <w:spacing w:after="60" w:line="276"/>
      </w:pPr>
      <w:r>
        <w:rPr>
          <w:rFonts w:ascii="Calibri" w:cs="Calibri" w:eastAsia="Calibri" w:hAnsi="Calibri"/>
          <w:sz w:val="21"/>
          <w:szCs w:val="21"/>
        </w:rPr>
        <w:t xml:space="preserve">Integration in eine Pflegesoftware statt eigener App; Pilot mit einem privaten Betreiber.</w:t>
      </w:r>
    </w:p>
    <w:p>
      <w:pPr>
        <w:pStyle w:val="Heading2"/>
        <w:keepNext/>
        <w:spacing w:after="140" w:before="300"/>
      </w:pPr>
      <w:r>
        <w:t xml:space="preserve">H2 Medizin, Telemedizin, klinische Studien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928"/>
        <w:gridCol w:w="1928"/>
        <w:gridCol w:w="1928"/>
        <w:gridCol w:w="1927"/>
        <w:gridCol w:w="1927"/>
      </w:tblGrid>
      <w:tr>
        <w:trPr>
          <w:cantSplit/>
          <w:tblHeader w:val="false"/>
        </w:trPr>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Volumen</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Schmerz (1–5)</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Wettbewerb</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Nähe zur App</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Priorität</w:t>
            </w:r>
          </w:p>
        </w:tc>
      </w:tr>
      <w:tr>
        <w:trPr>
          <w:cantSplit/>
        </w:trPr>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mittel</w:t>
            </w:r>
          </w:p>
        </w:tc>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3</w:t>
            </w:r>
          </w:p>
        </w:tc>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mittel</w:t>
            </w:r>
          </w:p>
        </w:tc>
        <w:tc>
          <w:tcPr>
            <w:tcW w:type="dxa" w:w="1927"/>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niedrig</w:t>
            </w:r>
          </w:p>
        </w:tc>
        <w:tc>
          <w:tcPr>
            <w:tcW w:type="dxa" w:w="1927"/>
            <w:shd w:fill="F4F4F4"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8"/>
                <w:szCs w:val="18"/>
              </w:rPr>
              <w:t xml:space="preserve">C – beobachten / opportunistisch</w:t>
            </w:r>
          </w:p>
        </w:tc>
      </w:tr>
    </w:tbl>
    <w:p>
      <w:pPr>
        <w:spacing w:after="100"/>
      </w:pPr>
    </w:p>
    <w:p>
      <w:pPr>
        <w:spacing w:after="100" w:line="276"/>
      </w:pPr>
      <w:r>
        <w:rPr>
          <w:rFonts w:ascii="Calibri" w:cs="Calibri" w:eastAsia="Calibri" w:hAnsi="Calibri"/>
          <w:b/>
          <w:bCs/>
          <w:color w:val="1F3A5F"/>
          <w:sz w:val="21"/>
          <w:szCs w:val="21"/>
        </w:rPr>
        <w:t xml:space="preserve">Bedarf. </w:t>
      </w:r>
      <w:r>
        <w:rPr>
          <w:rFonts w:ascii="Calibri" w:cs="Calibri" w:eastAsia="Calibri" w:hAnsi="Calibri"/>
          <w:sz w:val="21"/>
          <w:szCs w:val="21"/>
        </w:rPr>
        <w:t xml:space="preserve">Telemedizin und Dermatologie-Apps entscheiden auf Basis von Patientenfotos. Klinische Studien müssen Bilddaten nach FDA 21 CFR Part 11 und GCP manipulationssicher halten. Unfallchirurgie (D-Arzt-Verfahren) dokumentiert Verletzungen für die Berufsgenossenschaft.</w:t>
      </w:r>
    </w:p>
    <w:p>
      <w:pPr>
        <w:spacing w:after="100" w:line="276"/>
      </w:pPr>
      <w:r>
        <w:rPr>
          <w:rFonts w:ascii="Calibri" w:cs="Calibri" w:eastAsia="Calibri" w:hAnsi="Calibri"/>
          <w:b/>
          <w:bCs/>
          <w:color w:val="1F3A5F"/>
          <w:sz w:val="21"/>
          <w:szCs w:val="21"/>
        </w:rPr>
        <w:t xml:space="preserve">Wer bezahlt. </w:t>
      </w:r>
      <w:r>
        <w:rPr>
          <w:rFonts w:ascii="Calibri" w:cs="Calibri" w:eastAsia="Calibri" w:hAnsi="Calibri"/>
          <w:sz w:val="21"/>
          <w:szCs w:val="21"/>
        </w:rPr>
        <w:t xml:space="preserve">Telemedizin-Anbieter, CROs, Klinikgruppen, BG-Kliniken, Medizintechnik.</w:t>
      </w:r>
    </w:p>
    <w:p>
      <w:pPr>
        <w:spacing w:after="100" w:line="276"/>
      </w:pPr>
      <w:r>
        <w:rPr>
          <w:rFonts w:ascii="Calibri" w:cs="Calibri" w:eastAsia="Calibri" w:hAnsi="Calibri"/>
          <w:b/>
          <w:bCs/>
          <w:color w:val="1F3A5F"/>
          <w:sz w:val="21"/>
          <w:szCs w:val="21"/>
        </w:rPr>
        <w:t xml:space="preserve">Auslöser. </w:t>
      </w:r>
      <w:r>
        <w:rPr>
          <w:rFonts w:ascii="Calibri" w:cs="Calibri" w:eastAsia="Calibri" w:hAnsi="Calibri"/>
          <w:sz w:val="21"/>
          <w:szCs w:val="21"/>
        </w:rPr>
        <w:t xml:space="preserve">Regulatorik (GCP, MDR), Haftung, Fernbehandlung als Regelversorgung.</w:t>
      </w:r>
    </w:p>
    <w:p>
      <w:pPr>
        <w:spacing w:after="100" w:line="276"/>
      </w:pPr>
      <w:r>
        <w:rPr>
          <w:rFonts w:ascii="Calibri" w:cs="Calibri" w:eastAsia="Calibri" w:hAnsi="Calibri"/>
          <w:b/>
          <w:bCs/>
          <w:color w:val="1F3A5F"/>
          <w:sz w:val="21"/>
          <w:szCs w:val="21"/>
        </w:rPr>
        <w:t xml:space="preserve">Stand heute / Wettbewerb. </w:t>
      </w:r>
      <w:r>
        <w:rPr>
          <w:rFonts w:ascii="Calibri" w:cs="Calibri" w:eastAsia="Calibri" w:hAnsi="Calibri"/>
          <w:sz w:val="21"/>
          <w:szCs w:val="21"/>
        </w:rPr>
        <w:t xml:space="preserve">Studien-Software (EDC) mit Audit-Trail, aber Fotos entstehen außerhalb; Telemedizin-Apps ohne Beweisschicht.</w:t>
      </w:r>
    </w:p>
    <w:p>
      <w:pPr>
        <w:pStyle w:val="Heading3"/>
        <w:keepNext/>
        <w:spacing w:after="100" w:before="220"/>
      </w:pPr>
      <w:r>
        <w:t xml:space="preserve">Potenzielle Kunden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2000"/>
        <w:gridCol w:w="2700"/>
        <w:gridCol w:w="2238"/>
      </w:tblGrid>
      <w:tr>
        <w:trPr>
          <w:cantSplit/>
          <w:tblHeader/>
        </w:trPr>
        <w:tc>
          <w:tcPr>
            <w:tcW w:type="dxa" w:w="27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Organisation</w:t>
            </w:r>
          </w:p>
        </w:tc>
        <w:tc>
          <w:tcPr>
            <w:tcW w:type="dxa" w:w="20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Typ / Sitz</w:t>
            </w:r>
          </w:p>
        </w:tc>
        <w:tc>
          <w:tcPr>
            <w:tcW w:type="dxa" w:w="27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Zielrolle (Ansprechpartner)</w:t>
            </w:r>
          </w:p>
        </w:tc>
        <w:tc>
          <w:tcPr>
            <w:tcW w:type="dxa" w:w="2238"/>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Web / Zugang</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IQVIA Deutschland</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CRO, Frankfurt</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Clinical Technology</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iqvia.com</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Parexel</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CRO, Berlin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Clinical Operations Germany</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parexel.com</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Helios Kliniken</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Klinikgruppe, Berlin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Digitalisierung; Qualitätsmanagement</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helios-gesundheit.de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Asklepios Kliniken</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Klinikgruppe, Hamburg</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IT/Digital Health</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asklepios.com</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Sana Kliniken</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Klinikgruppe, Ismaning</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Digitalisierung</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sana.de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BG Kliniken</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Unfallkliniken, Berlin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Medizincontrolling; IT</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bg-kliniken.de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Charité (Clinical Study Center)</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Universitätsmedizin, Berlin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Studienzentrum</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charite.de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TeleClinic</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Telemedizin, München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Product; Medical</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teleclinic.com</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dermanostic</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Telederma-App, Düsseldorf</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Geschäftsführung; Produkt</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dermanostic.com</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KKS-Netzwerk</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Koordinierungszentren für Klinische Studien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Geschäftsstelle</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kks-netzwerk.de</w:t>
            </w:r>
          </w:p>
        </w:tc>
      </w:tr>
    </w:tbl>
    <w:p>
      <w:pPr>
        <w:spacing w:after="80"/>
      </w:pPr>
    </w:p>
    <w:p>
      <w:pPr>
        <w:pStyle w:val="Heading3"/>
        <w:keepNext/>
        <w:spacing w:after="100" w:before="220"/>
      </w:pPr>
      <w:r>
        <w:t xml:space="preserve">Multiplikatoren und Zugang</w:t>
      </w:r>
    </w:p>
    <w:p>
      <w:pPr>
        <w:pStyle w:val="ListParagraph"/>
        <w:numPr>
          <w:ilvl w:val="0"/>
          <w:numId w:val="2"/>
        </w:numPr>
        <w:spacing w:after="60" w:line="276"/>
      </w:pPr>
      <w:r>
        <w:rPr>
          <w:rFonts w:ascii="Calibri" w:cs="Calibri" w:eastAsia="Calibri" w:hAnsi="Calibri"/>
          <w:sz w:val="21"/>
          <w:szCs w:val="21"/>
        </w:rPr>
        <w:t xml:space="preserve">CROs bringen Anforderungen in viele Studienzentren.</w:t>
      </w:r>
    </w:p>
    <w:p>
      <w:pPr>
        <w:pStyle w:val="ListParagraph"/>
        <w:numPr>
          <w:ilvl w:val="0"/>
          <w:numId w:val="2"/>
        </w:numPr>
        <w:spacing w:after="60" w:line="276"/>
      </w:pPr>
      <w:r>
        <w:rPr>
          <w:rFonts w:ascii="Calibri" w:cs="Calibri" w:eastAsia="Calibri" w:hAnsi="Calibri"/>
          <w:sz w:val="21"/>
          <w:szCs w:val="21"/>
        </w:rPr>
        <w:t xml:space="preserve">Messe DMEA Berlin, MEDICA Düsseldorf.</w:t>
      </w:r>
    </w:p>
    <w:p>
      <w:pPr>
        <w:pStyle w:val="Heading3"/>
        <w:keepNext/>
        <w:spacing w:after="100" w:before="220"/>
      </w:pPr>
      <w:r>
        <w:t xml:space="preserve">Empfohlener Einstieg</w:t>
      </w:r>
    </w:p>
    <w:p>
      <w:pPr>
        <w:pStyle w:val="ListParagraph"/>
        <w:numPr>
          <w:ilvl w:val="0"/>
          <w:numId w:val="2"/>
        </w:numPr>
        <w:spacing w:after="60" w:line="276"/>
      </w:pPr>
      <w:r>
        <w:rPr>
          <w:rFonts w:ascii="Calibri" w:cs="Calibri" w:eastAsia="Calibri" w:hAnsi="Calibri"/>
          <w:sz w:val="21"/>
          <w:szCs w:val="21"/>
        </w:rPr>
        <w:t xml:space="preserve">Telederma als Pilot: Fotoqualität und Herkunft sind dort Kernprodukt.</w:t>
      </w:r>
    </w:p>
    <w:p>
      <w:pPr>
        <w:pStyle w:val="Heading2"/>
        <w:keepNext/>
        <w:spacing w:after="140" w:before="300"/>
      </w:pPr>
      <w:r>
        <w:t xml:space="preserve">H3 Jugendamt, Betreuung, Sozialbehörden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928"/>
        <w:gridCol w:w="1928"/>
        <w:gridCol w:w="1928"/>
        <w:gridCol w:w="1927"/>
        <w:gridCol w:w="1927"/>
      </w:tblGrid>
      <w:tr>
        <w:trPr>
          <w:cantSplit/>
          <w:tblHeader w:val="false"/>
        </w:trPr>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Volumen</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Schmerz (1–5)</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Wettbewerb</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Nähe zur App</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Priorität</w:t>
            </w:r>
          </w:p>
        </w:tc>
      </w:tr>
      <w:tr>
        <w:trPr>
          <w:cantSplit/>
        </w:trPr>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mittel</w:t>
            </w:r>
          </w:p>
        </w:tc>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4</w:t>
            </w:r>
          </w:p>
        </w:tc>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niedrig</w:t>
            </w:r>
          </w:p>
        </w:tc>
        <w:tc>
          <w:tcPr>
            <w:tcW w:type="dxa" w:w="1927"/>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niedrig</w:t>
            </w:r>
          </w:p>
        </w:tc>
        <w:tc>
          <w:tcPr>
            <w:tcW w:type="dxa" w:w="1927"/>
            <w:shd w:fill="F4F4F4"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8"/>
                <w:szCs w:val="18"/>
              </w:rPr>
              <w:t xml:space="preserve">C – beobachten / opportunistisch</w:t>
            </w:r>
          </w:p>
        </w:tc>
      </w:tr>
    </w:tbl>
    <w:p>
      <w:pPr>
        <w:spacing w:after="100"/>
      </w:pPr>
    </w:p>
    <w:p>
      <w:pPr>
        <w:spacing w:after="100" w:line="276"/>
      </w:pPr>
      <w:r>
        <w:rPr>
          <w:rFonts w:ascii="Calibri" w:cs="Calibri" w:eastAsia="Calibri" w:hAnsi="Calibri"/>
          <w:b/>
          <w:bCs/>
          <w:color w:val="1F3A5F"/>
          <w:sz w:val="21"/>
          <w:szCs w:val="21"/>
        </w:rPr>
        <w:t xml:space="preserve">Bedarf. </w:t>
      </w:r>
      <w:r>
        <w:rPr>
          <w:rFonts w:ascii="Calibri" w:cs="Calibri" w:eastAsia="Calibri" w:hAnsi="Calibri"/>
          <w:sz w:val="21"/>
          <w:szCs w:val="21"/>
        </w:rPr>
        <w:t xml:space="preserve">Hausbesuche, Kindeswohlprüfungen und Zustandsdokumentation in der rechtlichen Betreuung landen in Familien- und Betreuungsgerichten. Fachkräfte dokumentieren unter Zeitdruck, Beweise werden angezweifelt. Berufsbetreuer haften persönlich.</w:t>
      </w:r>
    </w:p>
    <w:p>
      <w:pPr>
        <w:spacing w:after="100" w:line="276"/>
      </w:pPr>
      <w:r>
        <w:rPr>
          <w:rFonts w:ascii="Calibri" w:cs="Calibri" w:eastAsia="Calibri" w:hAnsi="Calibri"/>
          <w:b/>
          <w:bCs/>
          <w:color w:val="1F3A5F"/>
          <w:sz w:val="21"/>
          <w:szCs w:val="21"/>
        </w:rPr>
        <w:t xml:space="preserve">Wer bezahlt. </w:t>
      </w:r>
      <w:r>
        <w:rPr>
          <w:rFonts w:ascii="Calibri" w:cs="Calibri" w:eastAsia="Calibri" w:hAnsi="Calibri"/>
          <w:sz w:val="21"/>
          <w:szCs w:val="21"/>
        </w:rPr>
        <w:t xml:space="preserve">Kommunen (Jugendämter), Landesjugendämter, Betreuungsvereine, Berufsbetreuer, Software-Anbieter für Sozialverwaltung.</w:t>
      </w:r>
    </w:p>
    <w:p>
      <w:pPr>
        <w:spacing w:after="100" w:line="276"/>
      </w:pPr>
      <w:r>
        <w:rPr>
          <w:rFonts w:ascii="Calibri" w:cs="Calibri" w:eastAsia="Calibri" w:hAnsi="Calibri"/>
          <w:b/>
          <w:bCs/>
          <w:color w:val="1F3A5F"/>
          <w:sz w:val="21"/>
          <w:szCs w:val="21"/>
        </w:rPr>
        <w:t xml:space="preserve">Auslöser. </w:t>
      </w:r>
      <w:r>
        <w:rPr>
          <w:rFonts w:ascii="Calibri" w:cs="Calibri" w:eastAsia="Calibri" w:hAnsi="Calibri"/>
          <w:sz w:val="21"/>
          <w:szCs w:val="21"/>
        </w:rPr>
        <w:t xml:space="preserve">Kinderschutzfälle mit öffentlicher Aufmerksamkeit, Betreuungsrechtsreform 2023, Digitalisierung der Sozialverwaltung.</w:t>
      </w:r>
    </w:p>
    <w:p>
      <w:pPr>
        <w:spacing w:after="100" w:line="276"/>
      </w:pPr>
      <w:r>
        <w:rPr>
          <w:rFonts w:ascii="Calibri" w:cs="Calibri" w:eastAsia="Calibri" w:hAnsi="Calibri"/>
          <w:b/>
          <w:bCs/>
          <w:color w:val="1F3A5F"/>
          <w:sz w:val="21"/>
          <w:szCs w:val="21"/>
        </w:rPr>
        <w:t xml:space="preserve">Stand heute / Wettbewerb. </w:t>
      </w:r>
      <w:r>
        <w:rPr>
          <w:rFonts w:ascii="Calibri" w:cs="Calibri" w:eastAsia="Calibri" w:hAnsi="Calibri"/>
          <w:sz w:val="21"/>
          <w:szCs w:val="21"/>
        </w:rPr>
        <w:t xml:space="preserve">Fachverfahren (Prosoz, AKDB) ohne Beweisschicht; Papierakten verbreitet.</w:t>
      </w:r>
    </w:p>
    <w:p>
      <w:pPr>
        <w:pStyle w:val="Heading3"/>
        <w:keepNext/>
        <w:spacing w:after="100" w:before="220"/>
      </w:pPr>
      <w:r>
        <w:t xml:space="preserve">Potenzielle Kunden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2000"/>
        <w:gridCol w:w="2700"/>
        <w:gridCol w:w="2238"/>
      </w:tblGrid>
      <w:tr>
        <w:trPr>
          <w:cantSplit/>
          <w:tblHeader/>
        </w:trPr>
        <w:tc>
          <w:tcPr>
            <w:tcW w:type="dxa" w:w="27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Organisation</w:t>
            </w:r>
          </w:p>
        </w:tc>
        <w:tc>
          <w:tcPr>
            <w:tcW w:type="dxa" w:w="20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Typ / Sitz</w:t>
            </w:r>
          </w:p>
        </w:tc>
        <w:tc>
          <w:tcPr>
            <w:tcW w:type="dxa" w:w="27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Zielrolle (Ansprechpartner)</w:t>
            </w:r>
          </w:p>
        </w:tc>
        <w:tc>
          <w:tcPr>
            <w:tcW w:type="dxa" w:w="2238"/>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Web / Zugang</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Bundesarbeitsgemeinschaft Landesjugendämter</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Fachgremium</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Vorsitz; Arbeitsgruppe Digitalisierung</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bagljae.de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Deutsches Jugendinstitut (DJI)</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Forschungsinstitut, München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Abteilung Familie und Familienpolitik; Kinderschutz</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dji.de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Deutscher Verein für öffentliche und private Fürsorge</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Fachverband, Berlin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Arbeitsfeld Kinder, Jugend, Familie</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deutscher-verein.de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Bundesverband der Berufsbetreuer (BdB)</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Verband, Hamburg</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Geschäftsführung</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bdb-ev.de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PROSOZ Herten</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Fachsoftware Sozialverwaltung, Herten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Produktmanagement Jugendhilfe</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prosoz.de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AKDB</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Kommunales IT-Haus, München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Fachverfahren Soziales</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akdb.de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Deutscher Kinderschutzbund</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Verband, Berlin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Bundesgeschäftsstelle</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kinderschutzbund.de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Städte mit großen Jugendämtern (Berlin, Hamburg, Köln, München)</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Kommunen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Amtsleitung Jugendamt; Digitalisierung</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über kommunale Spitzenverbände (E2)</w:t>
            </w:r>
          </w:p>
        </w:tc>
      </w:tr>
    </w:tbl>
    <w:p>
      <w:pPr>
        <w:spacing w:after="80"/>
      </w:pPr>
    </w:p>
    <w:p>
      <w:pPr>
        <w:pStyle w:val="Heading3"/>
        <w:keepNext/>
        <w:spacing w:after="100" w:before="220"/>
      </w:pPr>
      <w:r>
        <w:t xml:space="preserve">Multiplikatoren und Zugang</w:t>
      </w:r>
    </w:p>
    <w:p>
      <w:pPr>
        <w:pStyle w:val="ListParagraph"/>
        <w:numPr>
          <w:ilvl w:val="0"/>
          <w:numId w:val="2"/>
        </w:numPr>
        <w:spacing w:after="60" w:line="276"/>
      </w:pPr>
      <w:r>
        <w:rPr>
          <w:rFonts w:ascii="Calibri" w:cs="Calibri" w:eastAsia="Calibri" w:hAnsi="Calibri"/>
          <w:sz w:val="21"/>
          <w:szCs w:val="21"/>
        </w:rPr>
        <w:t xml:space="preserve">Fachverfahrenshersteller (Prosoz, AKDB) erreichen hunderte Jugendämter.</w:t>
      </w:r>
    </w:p>
    <w:p>
      <w:pPr>
        <w:pStyle w:val="Heading3"/>
        <w:keepNext/>
        <w:spacing w:after="100" w:before="220"/>
      </w:pPr>
      <w:r>
        <w:t xml:space="preserve">Empfohlener Einstieg</w:t>
      </w:r>
    </w:p>
    <w:p>
      <w:pPr>
        <w:pStyle w:val="ListParagraph"/>
        <w:numPr>
          <w:ilvl w:val="0"/>
          <w:numId w:val="2"/>
        </w:numPr>
        <w:spacing w:after="60" w:line="276"/>
      </w:pPr>
      <w:r>
        <w:rPr>
          <w:rFonts w:ascii="Calibri" w:cs="Calibri" w:eastAsia="Calibri" w:hAnsi="Calibri"/>
          <w:sz w:val="21"/>
          <w:szCs w:val="21"/>
        </w:rPr>
        <w:t xml:space="preserve">Berufsbetreuer als Freiberufler-Einstieg (schnelle Entscheidung), Jugendämter über Fachverfahren.</w:t>
      </w:r>
    </w:p>
    <w:p>
      <w:pPr>
        <w:pStyle w:val="Heading2"/>
        <w:keepNext/>
        <w:spacing w:after="140" w:before="300"/>
      </w:pPr>
      <w:r>
        <w:t xml:space="preserve">H4 Justiz, Polizei, Notare, Vollstreckung</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928"/>
        <w:gridCol w:w="1928"/>
        <w:gridCol w:w="1928"/>
        <w:gridCol w:w="1927"/>
        <w:gridCol w:w="1927"/>
      </w:tblGrid>
      <w:tr>
        <w:trPr>
          <w:cantSplit/>
          <w:tblHeader w:val="false"/>
        </w:trPr>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Volumen</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Schmerz (1–5)</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Wettbewerb</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Nähe zur App</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Priorität</w:t>
            </w:r>
          </w:p>
        </w:tc>
      </w:tr>
      <w:tr>
        <w:trPr>
          <w:cantSplit/>
        </w:trPr>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hoch</w:t>
            </w:r>
          </w:p>
        </w:tc>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4</w:t>
            </w:r>
          </w:p>
        </w:tc>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mittel</w:t>
            </w:r>
          </w:p>
        </w:tc>
        <w:tc>
          <w:tcPr>
            <w:tcW w:type="dxa" w:w="1927"/>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niedrig</w:t>
            </w:r>
          </w:p>
        </w:tc>
        <w:tc>
          <w:tcPr>
            <w:tcW w:type="dxa" w:w="1927"/>
            <w:shd w:fill="F4F4F4"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8"/>
                <w:szCs w:val="18"/>
              </w:rPr>
              <w:t xml:space="preserve">C – beobachten / opportunistisch</w:t>
            </w:r>
          </w:p>
        </w:tc>
      </w:tr>
    </w:tbl>
    <w:p>
      <w:pPr>
        <w:spacing w:after="100"/>
      </w:pPr>
    </w:p>
    <w:p>
      <w:pPr>
        <w:spacing w:after="100" w:line="276"/>
      </w:pPr>
      <w:r>
        <w:rPr>
          <w:rFonts w:ascii="Calibri" w:cs="Calibri" w:eastAsia="Calibri" w:hAnsi="Calibri"/>
          <w:b/>
          <w:bCs/>
          <w:color w:val="1F3A5F"/>
          <w:sz w:val="21"/>
          <w:szCs w:val="21"/>
        </w:rPr>
        <w:t xml:space="preserve">Bedarf. </w:t>
      </w:r>
      <w:r>
        <w:rPr>
          <w:rFonts w:ascii="Calibri" w:cs="Calibri" w:eastAsia="Calibri" w:hAnsi="Calibri"/>
          <w:sz w:val="21"/>
          <w:szCs w:val="21"/>
        </w:rPr>
        <w:t xml:space="preserve">Bodycam-Aufnahmen, Tatortfotos, Beweismittelketten und Zustellungsnachweise müssen vor Gericht bestehen. Gerichtsvollzieher, Notare und Anwälte dokumentieren Zustände (Räumung, Besichtigung, Beweissicherung). E-Justice und die elektronische Akte brauchen manipulationssichere Anhänge.</w:t>
      </w:r>
    </w:p>
    <w:p>
      <w:pPr>
        <w:spacing w:after="100" w:line="276"/>
      </w:pPr>
      <w:r>
        <w:rPr>
          <w:rFonts w:ascii="Calibri" w:cs="Calibri" w:eastAsia="Calibri" w:hAnsi="Calibri"/>
          <w:b/>
          <w:bCs/>
          <w:color w:val="1F3A5F"/>
          <w:sz w:val="21"/>
          <w:szCs w:val="21"/>
        </w:rPr>
        <w:t xml:space="preserve">Wer bezahlt. </w:t>
      </w:r>
      <w:r>
        <w:rPr>
          <w:rFonts w:ascii="Calibri" w:cs="Calibri" w:eastAsia="Calibri" w:hAnsi="Calibri"/>
          <w:sz w:val="21"/>
          <w:szCs w:val="21"/>
        </w:rPr>
        <w:t xml:space="preserve">Innenministerien (Polizei), Justizministerien, Notarkammern, Gerichtsvollzieher, Anwaltskanzleien, Bodycam-Hersteller, IT-Dienstleister der Justiz.</w:t>
      </w:r>
    </w:p>
    <w:p>
      <w:pPr>
        <w:spacing w:after="100" w:line="276"/>
      </w:pPr>
      <w:r>
        <w:rPr>
          <w:rFonts w:ascii="Calibri" w:cs="Calibri" w:eastAsia="Calibri" w:hAnsi="Calibri"/>
          <w:b/>
          <w:bCs/>
          <w:color w:val="1F3A5F"/>
          <w:sz w:val="21"/>
          <w:szCs w:val="21"/>
        </w:rPr>
        <w:t xml:space="preserve">Auslöser. </w:t>
      </w:r>
      <w:r>
        <w:rPr>
          <w:rFonts w:ascii="Calibri" w:cs="Calibri" w:eastAsia="Calibri" w:hAnsi="Calibri"/>
          <w:sz w:val="21"/>
          <w:szCs w:val="21"/>
        </w:rPr>
        <w:t xml:space="preserve">E-Akte-Pflicht ab 2026, Bodycam-Ausstattung der Polizei, Beweisverwertungsstreit, eIDAS 2.0.</w:t>
      </w:r>
    </w:p>
    <w:p>
      <w:pPr>
        <w:spacing w:after="100" w:line="276"/>
      </w:pPr>
      <w:r>
        <w:rPr>
          <w:rFonts w:ascii="Calibri" w:cs="Calibri" w:eastAsia="Calibri" w:hAnsi="Calibri"/>
          <w:b/>
          <w:bCs/>
          <w:color w:val="1F3A5F"/>
          <w:sz w:val="21"/>
          <w:szCs w:val="21"/>
        </w:rPr>
        <w:t xml:space="preserve">Stand heute / Wettbewerb. </w:t>
      </w:r>
      <w:r>
        <w:rPr>
          <w:rFonts w:ascii="Calibri" w:cs="Calibri" w:eastAsia="Calibri" w:hAnsi="Calibri"/>
          <w:sz w:val="21"/>
          <w:szCs w:val="21"/>
        </w:rPr>
        <w:t xml:space="preserve">Bodycam-Systeme (Axon, Zepcam, Motorola) mit eigener Beweiskette, aber geschlossen. Für Anwälte, Gerichtsvollzieher und Notare keine Lösung.</w:t>
      </w:r>
    </w:p>
    <w:p>
      <w:pPr>
        <w:pStyle w:val="Heading3"/>
        <w:keepNext/>
        <w:spacing w:after="100" w:before="220"/>
      </w:pPr>
      <w:r>
        <w:t xml:space="preserve">Potenzielle Kunden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2000"/>
        <w:gridCol w:w="2700"/>
        <w:gridCol w:w="2238"/>
      </w:tblGrid>
      <w:tr>
        <w:trPr>
          <w:cantSplit/>
          <w:tblHeader/>
        </w:trPr>
        <w:tc>
          <w:tcPr>
            <w:tcW w:type="dxa" w:w="27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Organisation</w:t>
            </w:r>
          </w:p>
        </w:tc>
        <w:tc>
          <w:tcPr>
            <w:tcW w:type="dxa" w:w="20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Typ / Sitz</w:t>
            </w:r>
          </w:p>
        </w:tc>
        <w:tc>
          <w:tcPr>
            <w:tcW w:type="dxa" w:w="27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Zielrolle (Ansprechpartner)</w:t>
            </w:r>
          </w:p>
        </w:tc>
        <w:tc>
          <w:tcPr>
            <w:tcW w:type="dxa" w:w="2238"/>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Web / Zugang</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Bundeskriminalamt (BKA)</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Bundesbehörde, Wiesbaden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Kriminaltechnik; IT-Strategie</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bka.de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Landeskriminalämter (z. B. LKA NRW, LKA Bayern)</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Landesbehörden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Kriminaltechnik; Digitale Forensik</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über Landesinnenministerien</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Bundespolizei</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Bundesbehörde, Potsdam</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Einsatztechnik; Bodycam</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bundespolizei.de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Axon Public Safety Germany</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Bodycam-Hersteller, Frankfurt</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Country Management; Partnerships</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axon.com</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Motorola Solutions Germany</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Einsatztechnik, Berlin/Idstein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Video Security Partner Management</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motorolasolutions.com</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Bundesnotarkammer</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Kammer, Berlin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Geschäftsführung; NotarNet/Digitalisierung</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bnotk.de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Deutscher Anwaltverein (DAV)</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Verband, Berlin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Ausschuss Digitalisierung; Beweisrecht</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anwaltverein.de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Deutscher Gerichtsvollzieher Bund</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Verband</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Bundesvorstand</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dgvb.de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Deutscher Richterbund</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Verband, Berlin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Ausschuss E-Justice</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drb.de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Bundesministerium der Justiz (E-Justice)</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Ministerium, Berlin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Referat E-Justice</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bmj.de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Governikus</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Justiz-IT/Vertrauensdienste, Bremen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Produktmanagement; Partner</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governikus.de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Bundesamt für Sicherheit in der Informationstechnik (BSI)</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Bundesbehörde, Bonn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Technische Richtlinien (z. B. TR-ESOR Beweiswerterhaltung)</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bsi.bund.de</w:t>
            </w:r>
          </w:p>
        </w:tc>
      </w:tr>
    </w:tbl>
    <w:p>
      <w:pPr>
        <w:spacing w:after="80"/>
      </w:pPr>
    </w:p>
    <w:p>
      <w:pPr>
        <w:pStyle w:val="Heading3"/>
        <w:keepNext/>
        <w:spacing w:after="100" w:before="220"/>
      </w:pPr>
      <w:r>
        <w:t xml:space="preserve">Multiplikatoren und Zugang</w:t>
      </w:r>
    </w:p>
    <w:p>
      <w:pPr>
        <w:pStyle w:val="ListParagraph"/>
        <w:numPr>
          <w:ilvl w:val="0"/>
          <w:numId w:val="2"/>
        </w:numPr>
        <w:spacing w:after="60" w:line="276"/>
      </w:pPr>
      <w:r>
        <w:rPr>
          <w:rFonts w:ascii="Calibri" w:cs="Calibri" w:eastAsia="Calibri" w:hAnsi="Calibri"/>
          <w:sz w:val="21"/>
          <w:szCs w:val="21"/>
        </w:rPr>
        <w:t xml:space="preserve">BSI TR-ESOR als anerkannter Standard für beweiswerterhaltende Aufbewahrung.</w:t>
      </w:r>
    </w:p>
    <w:p>
      <w:pPr>
        <w:pStyle w:val="ListParagraph"/>
        <w:numPr>
          <w:ilvl w:val="0"/>
          <w:numId w:val="2"/>
        </w:numPr>
        <w:spacing w:after="60" w:line="276"/>
      </w:pPr>
      <w:r>
        <w:rPr>
          <w:rFonts w:ascii="Calibri" w:cs="Calibri" w:eastAsia="Calibri" w:hAnsi="Calibri"/>
          <w:sz w:val="21"/>
          <w:szCs w:val="21"/>
        </w:rPr>
        <w:t xml:space="preserve">Anwälte und Gerichtsvollzieher als Freiberufler mit kurzer Entscheidung.</w:t>
      </w:r>
    </w:p>
    <w:p>
      <w:pPr>
        <w:pStyle w:val="Heading3"/>
        <w:keepNext/>
        <w:spacing w:after="100" w:before="220"/>
      </w:pPr>
      <w:r>
        <w:t xml:space="preserve">Empfohlener Einstieg</w:t>
      </w:r>
    </w:p>
    <w:p>
      <w:pPr>
        <w:pStyle w:val="ListParagraph"/>
        <w:numPr>
          <w:ilvl w:val="0"/>
          <w:numId w:val="2"/>
        </w:numPr>
        <w:spacing w:after="60" w:line="276"/>
      </w:pPr>
      <w:r>
        <w:rPr>
          <w:rFonts w:ascii="Calibri" w:cs="Calibri" w:eastAsia="Calibri" w:hAnsi="Calibri"/>
          <w:sz w:val="21"/>
          <w:szCs w:val="21"/>
        </w:rPr>
        <w:t xml:space="preserve">Anwaltsmarkt (Beweissicherung bei Besichtigung) über DAV und juristische Fachmedien; Behörden erst mit Referenzen.</w:t>
      </w:r>
    </w:p>
    <w:p>
      <w:r>
        <w:br w:type="page"/>
      </w:r>
    </w:p>
    <w:p>
      <w:pPr>
        <w:pStyle w:val="Heading1"/>
        <w:keepNext/>
        <w:spacing w:after="200" w:before="360"/>
      </w:pPr>
      <w:r>
        <w:t xml:space="preserve">12. Herkunftsnachweis gegen KI (Feld I)</w:t>
      </w:r>
    </w:p>
    <w:p>
      <w:pPr>
        <w:spacing w:after="120" w:before="0" w:line="276"/>
      </w:pPr>
      <w:r>
        <w:rPr>
          <w:rFonts w:ascii="Calibri" w:cs="Calibri" w:eastAsia="Calibri" w:hAnsi="Calibri"/>
          <w:sz w:val="21"/>
          <w:szCs w:val="21"/>
        </w:rPr>
        <w:t xml:space="preserve">Hier geht es nicht um Übergabe oder Schaden, sondern um den Beweis, dass ein Bild von einem Menschen mit einer Kamera aufgenommen wurde. Der EU AI Act bringt Kennzeichnungspflichten, C2PA Content Credentials werden zum technischen Standard.</w:t>
      </w:r>
    </w:p>
    <w:p>
      <w:pPr>
        <w:pStyle w:val="Heading2"/>
        <w:keepNext/>
        <w:spacing w:after="140" w:before="300"/>
      </w:pPr>
      <w:r>
        <w:t xml:space="preserve">I1 Forschungsintegrität</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928"/>
        <w:gridCol w:w="1928"/>
        <w:gridCol w:w="1928"/>
        <w:gridCol w:w="1927"/>
        <w:gridCol w:w="1927"/>
      </w:tblGrid>
      <w:tr>
        <w:trPr>
          <w:cantSplit/>
          <w:tblHeader w:val="false"/>
        </w:trPr>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Volumen</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Schmerz (1–5)</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Wettbewerb</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Nähe zur App</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Priorität</w:t>
            </w:r>
          </w:p>
        </w:tc>
      </w:tr>
      <w:tr>
        <w:trPr>
          <w:cantSplit/>
        </w:trPr>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niedrig</w:t>
            </w:r>
          </w:p>
        </w:tc>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4</w:t>
            </w:r>
          </w:p>
        </w:tc>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mittel</w:t>
            </w:r>
          </w:p>
        </w:tc>
        <w:tc>
          <w:tcPr>
            <w:tcW w:type="dxa" w:w="1927"/>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niedrig</w:t>
            </w:r>
          </w:p>
        </w:tc>
        <w:tc>
          <w:tcPr>
            <w:tcW w:type="dxa" w:w="1927"/>
            <w:shd w:fill="F4F4F4"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8"/>
                <w:szCs w:val="18"/>
              </w:rPr>
              <w:t xml:space="preserve">C – beobachten / opportunistisch</w:t>
            </w:r>
          </w:p>
        </w:tc>
      </w:tr>
    </w:tbl>
    <w:p>
      <w:pPr>
        <w:spacing w:after="100"/>
      </w:pPr>
    </w:p>
    <w:p>
      <w:pPr>
        <w:spacing w:after="100" w:line="276"/>
      </w:pPr>
      <w:r>
        <w:rPr>
          <w:rFonts w:ascii="Calibri" w:cs="Calibri" w:eastAsia="Calibri" w:hAnsi="Calibri"/>
          <w:b/>
          <w:bCs/>
          <w:color w:val="1F3A5F"/>
          <w:sz w:val="21"/>
          <w:szCs w:val="21"/>
        </w:rPr>
        <w:t xml:space="preserve">Bedarf. </w:t>
      </w:r>
      <w:r>
        <w:rPr>
          <w:rFonts w:ascii="Calibri" w:cs="Calibri" w:eastAsia="Calibri" w:hAnsi="Calibri"/>
          <w:sz w:val="21"/>
          <w:szCs w:val="21"/>
        </w:rPr>
        <w:t xml:space="preserve">Manipulierte Western Blots, Mikroskopie- und Gelbilder sind der häufigste Grund für zurückgezogene Publikationen. Verlage prüfen forensisch nach der Einreichung (Imagetwin, Proofig). Erfassung am Gerät mit Herkunftsnachweis würde den Betrug an der Quelle verhindern. Ombudsstellen und DFG verlangen Nachvollziehbarkeit.</w:t>
      </w:r>
    </w:p>
    <w:p>
      <w:pPr>
        <w:spacing w:after="100" w:line="276"/>
      </w:pPr>
      <w:r>
        <w:rPr>
          <w:rFonts w:ascii="Calibri" w:cs="Calibri" w:eastAsia="Calibri" w:hAnsi="Calibri"/>
          <w:b/>
          <w:bCs/>
          <w:color w:val="1F3A5F"/>
          <w:sz w:val="21"/>
          <w:szCs w:val="21"/>
        </w:rPr>
        <w:t xml:space="preserve">Wer bezahlt. </w:t>
      </w:r>
      <w:r>
        <w:rPr>
          <w:rFonts w:ascii="Calibri" w:cs="Calibri" w:eastAsia="Calibri" w:hAnsi="Calibri"/>
          <w:sz w:val="21"/>
          <w:szCs w:val="21"/>
        </w:rPr>
        <w:t xml:space="preserve">Wissenschaftsverlage, Forschungsorganisationen, Universitäten, Gerätehersteller, Forschungsförderer.</w:t>
      </w:r>
    </w:p>
    <w:p>
      <w:pPr>
        <w:spacing w:after="100" w:line="276"/>
      </w:pPr>
      <w:r>
        <w:rPr>
          <w:rFonts w:ascii="Calibri" w:cs="Calibri" w:eastAsia="Calibri" w:hAnsi="Calibri"/>
          <w:b/>
          <w:bCs/>
          <w:color w:val="1F3A5F"/>
          <w:sz w:val="21"/>
          <w:szCs w:val="21"/>
        </w:rPr>
        <w:t xml:space="preserve">Auslöser. </w:t>
      </w:r>
      <w:r>
        <w:rPr>
          <w:rFonts w:ascii="Calibri" w:cs="Calibri" w:eastAsia="Calibri" w:hAnsi="Calibri"/>
          <w:sz w:val="21"/>
          <w:szCs w:val="21"/>
        </w:rPr>
        <w:t xml:space="preserve">Retraction-Welle, DFG-Kodex 'Leitlinien zur Sicherung guter wissenschaftlicher Praxis', Reputationsschäden.</w:t>
      </w:r>
    </w:p>
    <w:p>
      <w:pPr>
        <w:spacing w:after="100" w:line="276"/>
      </w:pPr>
      <w:r>
        <w:rPr>
          <w:rFonts w:ascii="Calibri" w:cs="Calibri" w:eastAsia="Calibri" w:hAnsi="Calibri"/>
          <w:b/>
          <w:bCs/>
          <w:color w:val="1F3A5F"/>
          <w:sz w:val="21"/>
          <w:szCs w:val="21"/>
        </w:rPr>
        <w:t xml:space="preserve">Stand heute / Wettbewerb. </w:t>
      </w:r>
      <w:r>
        <w:rPr>
          <w:rFonts w:ascii="Calibri" w:cs="Calibri" w:eastAsia="Calibri" w:hAnsi="Calibri"/>
          <w:sz w:val="21"/>
          <w:szCs w:val="21"/>
        </w:rPr>
        <w:t xml:space="preserve">Nachträgliche Bildforensik (Imagetwin, Proofig) etabliert; Erfassungsseitige Sicherung fehlt.</w:t>
      </w:r>
    </w:p>
    <w:p>
      <w:pPr>
        <w:pStyle w:val="Heading3"/>
        <w:keepNext/>
        <w:spacing w:after="100" w:before="220"/>
      </w:pPr>
      <w:r>
        <w:t xml:space="preserve">Potenzielle Kunden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2000"/>
        <w:gridCol w:w="2700"/>
        <w:gridCol w:w="2238"/>
      </w:tblGrid>
      <w:tr>
        <w:trPr>
          <w:cantSplit/>
          <w:tblHeader/>
        </w:trPr>
        <w:tc>
          <w:tcPr>
            <w:tcW w:type="dxa" w:w="27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Organisation</w:t>
            </w:r>
          </w:p>
        </w:tc>
        <w:tc>
          <w:tcPr>
            <w:tcW w:type="dxa" w:w="20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Typ / Sitz</w:t>
            </w:r>
          </w:p>
        </w:tc>
        <w:tc>
          <w:tcPr>
            <w:tcW w:type="dxa" w:w="27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Zielrolle (Ansprechpartner)</w:t>
            </w:r>
          </w:p>
        </w:tc>
        <w:tc>
          <w:tcPr>
            <w:tcW w:type="dxa" w:w="2238"/>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Web / Zugang</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Springer Nature</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Verlag, Berlin/Heidelberg</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Research Integrity Group</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springernature.com</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Wiley-VCH</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Verlag, Weinheim</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Research Integrity</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wiley-vch.de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Thieme</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Verlag, Stuttgart</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Editorial; Integrity</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thieme.de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De Gruyter Brill</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Verlag, Berlin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Publishing Ethics</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degruyter.com</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Deutsche Forschungsgemeinschaft (DFG)</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Förderorganisation, Bonn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Gruppe Wissenschaftliche Integrität</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dfg.de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Ombudsman für die Wissenschaft</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Gremium, Berlin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Geschäftsstelle</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ombudsman-fuer-die-wissenschaft.de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Max-Planck-Gesellschaft</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Forschungsorganisation, München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Generalverwaltung; Wissenschaftliche Integrität</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mpg.de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Helmholtz-Gemeinschaft</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Forschungsorganisation, Berlin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Ombudsverfahren; Digitalisierung</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helmholtz.de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Fraunhofer-Gesellschaft</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Forschungsorganisation, München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Wissenschaftliche Integrität</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fraunhofer.de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Imagetwin</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Bildforensik, Wien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Geschäftsführung (Partner/Wettbewerber)</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imagetwin.ai</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Carl Zeiss Microscopy</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Gerätehersteller, Jena/Oberkochen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Software Product Management</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zeiss.com</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Leica Microsystems</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Gerätehersteller, Wetzlar</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Software; Partnerships</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leica-microsystems.com</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INTAS Science Imaging</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Gel-Dokumentationssysteme, Göttingen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Geschäftsführung</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intas.de</w:t>
            </w:r>
          </w:p>
        </w:tc>
      </w:tr>
    </w:tbl>
    <w:p>
      <w:pPr>
        <w:spacing w:after="80"/>
      </w:pPr>
    </w:p>
    <w:p>
      <w:pPr>
        <w:pStyle w:val="Heading3"/>
        <w:keepNext/>
        <w:spacing w:after="100" w:before="220"/>
      </w:pPr>
      <w:r>
        <w:t xml:space="preserve">Multiplikatoren und Zugang</w:t>
      </w:r>
    </w:p>
    <w:p>
      <w:pPr>
        <w:pStyle w:val="ListParagraph"/>
        <w:numPr>
          <w:ilvl w:val="0"/>
          <w:numId w:val="2"/>
        </w:numPr>
        <w:spacing w:after="60" w:line="276"/>
      </w:pPr>
      <w:r>
        <w:rPr>
          <w:rFonts w:ascii="Calibri" w:cs="Calibri" w:eastAsia="Calibri" w:hAnsi="Calibri"/>
          <w:sz w:val="21"/>
          <w:szCs w:val="21"/>
        </w:rPr>
        <w:t xml:space="preserve">Gerätehersteller können Signatur direkt in Mikroskop- und Gelbild-Software einbauen.</w:t>
      </w:r>
    </w:p>
    <w:p>
      <w:pPr>
        <w:pStyle w:val="ListParagraph"/>
        <w:numPr>
          <w:ilvl w:val="0"/>
          <w:numId w:val="2"/>
        </w:numPr>
        <w:spacing w:after="60" w:line="276"/>
      </w:pPr>
      <w:r>
        <w:rPr>
          <w:rFonts w:ascii="Calibri" w:cs="Calibri" w:eastAsia="Calibri" w:hAnsi="Calibri"/>
          <w:sz w:val="21"/>
          <w:szCs w:val="21"/>
        </w:rPr>
        <w:t xml:space="preserve">DFG-Kodex als Anforderungsquelle für alle Hochschulen.</w:t>
      </w:r>
    </w:p>
    <w:p>
      <w:pPr>
        <w:pStyle w:val="Heading3"/>
        <w:keepNext/>
        <w:spacing w:after="100" w:before="220"/>
      </w:pPr>
      <w:r>
        <w:t xml:space="preserve">Empfohlener Einstieg</w:t>
      </w:r>
    </w:p>
    <w:p>
      <w:pPr>
        <w:pStyle w:val="ListParagraph"/>
        <w:numPr>
          <w:ilvl w:val="0"/>
          <w:numId w:val="2"/>
        </w:numPr>
        <w:spacing w:after="60" w:line="276"/>
      </w:pPr>
      <w:r>
        <w:rPr>
          <w:rFonts w:ascii="Calibri" w:cs="Calibri" w:eastAsia="Calibri" w:hAnsi="Calibri"/>
          <w:sz w:val="21"/>
          <w:szCs w:val="21"/>
        </w:rPr>
        <w:t xml:space="preserve">Partnerschaft mit einem Gerätehersteller (INTAS) oder mit Imagetwin als komplementäres Angebot.</w:t>
      </w:r>
    </w:p>
    <w:p>
      <w:pPr>
        <w:pStyle w:val="Heading2"/>
        <w:keepNext/>
        <w:spacing w:after="140" w:before="300"/>
      </w:pPr>
      <w:r>
        <w:t xml:space="preserve">I2 Kreative, Medien, Werbung</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928"/>
        <w:gridCol w:w="1928"/>
        <w:gridCol w:w="1928"/>
        <w:gridCol w:w="1927"/>
        <w:gridCol w:w="1927"/>
      </w:tblGrid>
      <w:tr>
        <w:trPr>
          <w:cantSplit/>
          <w:tblHeader w:val="false"/>
        </w:trPr>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Volumen</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Schmerz (1–5)</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Wettbewerb</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Nähe zur App</w:t>
            </w:r>
          </w:p>
        </w:tc>
        <w:tc>
          <w:tcPr>
            <w:tcW w:type="dxa" w:w="1928"/>
            <w:shd w:fill="F2F6FA"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7"/>
                <w:szCs w:val="17"/>
              </w:rPr>
              <w:t xml:space="preserve">Priorität</w:t>
            </w:r>
          </w:p>
        </w:tc>
      </w:tr>
      <w:tr>
        <w:trPr>
          <w:cantSplit/>
        </w:trPr>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mittel</w:t>
            </w:r>
          </w:p>
        </w:tc>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3</w:t>
            </w:r>
          </w:p>
        </w:tc>
        <w:tc>
          <w:tcPr>
            <w:tcW w:type="dxa" w:w="1928"/>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hoch</w:t>
            </w:r>
          </w:p>
        </w:tc>
        <w:tc>
          <w:tcPr>
            <w:tcW w:type="dxa" w:w="1927"/>
            <w:tcMar>
              <w:top w:type="dxa" w:w="60"/>
              <w:left w:type="dxa" w:w="90"/>
              <w:bottom w:type="dxa" w:w="60"/>
              <w:right w:type="dxa" w:w="90"/>
            </w:tcMar>
            <w:vAlign w:val="top"/>
          </w:tcPr>
          <w:p>
            <w:pPr>
              <w:spacing w:after="0" w:line="252"/>
              <w:jc w:val="center"/>
            </w:pPr>
            <w:r>
              <w:rPr>
                <w:rFonts w:ascii="Calibri" w:cs="Calibri" w:eastAsia="Calibri" w:hAnsi="Calibri"/>
                <w:sz w:val="18"/>
                <w:szCs w:val="18"/>
              </w:rPr>
              <w:t xml:space="preserve">niedrig</w:t>
            </w:r>
          </w:p>
        </w:tc>
        <w:tc>
          <w:tcPr>
            <w:tcW w:type="dxa" w:w="1927"/>
            <w:shd w:fill="F4F4F4" w:color="auto" w:val="clear"/>
            <w:tcMar>
              <w:top w:type="dxa" w:w="60"/>
              <w:left w:type="dxa" w:w="90"/>
              <w:bottom w:type="dxa" w:w="60"/>
              <w:right w:type="dxa" w:w="90"/>
            </w:tcMar>
            <w:vAlign w:val="top"/>
          </w:tcPr>
          <w:p>
            <w:pPr>
              <w:spacing w:after="0" w:line="252"/>
              <w:jc w:val="center"/>
            </w:pPr>
            <w:r>
              <w:rPr>
                <w:rFonts w:ascii="Calibri" w:cs="Calibri" w:eastAsia="Calibri" w:hAnsi="Calibri"/>
                <w:b/>
                <w:bCs/>
                <w:sz w:val="18"/>
                <w:szCs w:val="18"/>
              </w:rPr>
              <w:t xml:space="preserve">C – beobachten / opportunistisch</w:t>
            </w:r>
          </w:p>
        </w:tc>
      </w:tr>
    </w:tbl>
    <w:p>
      <w:pPr>
        <w:spacing w:after="100"/>
      </w:pPr>
    </w:p>
    <w:p>
      <w:pPr>
        <w:spacing w:after="100" w:line="276"/>
      </w:pPr>
      <w:r>
        <w:rPr>
          <w:rFonts w:ascii="Calibri" w:cs="Calibri" w:eastAsia="Calibri" w:hAnsi="Calibri"/>
          <w:b/>
          <w:bCs/>
          <w:color w:val="1F3A5F"/>
          <w:sz w:val="21"/>
          <w:szCs w:val="21"/>
        </w:rPr>
        <w:t xml:space="preserve">Bedarf. </w:t>
      </w:r>
      <w:r>
        <w:rPr>
          <w:rFonts w:ascii="Calibri" w:cs="Calibri" w:eastAsia="Calibri" w:hAnsi="Calibri"/>
          <w:sz w:val="21"/>
          <w:szCs w:val="21"/>
        </w:rPr>
        <w:t xml:space="preserve">Fotojournalisten, Bildagenturen und Werbetreibende müssen belegen können, dass ein Bild echt ist. Der AI Act verlangt Kennzeichnung von KI-Inhalten; ein positiver Echtheitsnachweis ist das Gegenstück. Verifikationsteams in Redaktionen prüfen Nutzerfotos aus Krisengebieten. Fotografen brauchen Herkunftsnachweise für Urheberrechtsstreit und gegen KI-Training.</w:t>
      </w:r>
    </w:p>
    <w:p>
      <w:pPr>
        <w:spacing w:after="100" w:line="276"/>
      </w:pPr>
      <w:r>
        <w:rPr>
          <w:rFonts w:ascii="Calibri" w:cs="Calibri" w:eastAsia="Calibri" w:hAnsi="Calibri"/>
          <w:b/>
          <w:bCs/>
          <w:color w:val="1F3A5F"/>
          <w:sz w:val="21"/>
          <w:szCs w:val="21"/>
        </w:rPr>
        <w:t xml:space="preserve">Wer bezahlt. </w:t>
      </w:r>
      <w:r>
        <w:rPr>
          <w:rFonts w:ascii="Calibri" w:cs="Calibri" w:eastAsia="Calibri" w:hAnsi="Calibri"/>
          <w:sz w:val="21"/>
          <w:szCs w:val="21"/>
        </w:rPr>
        <w:t xml:space="preserve">Nachrichtenagenturen, Verlage, Bildagenturen, Fotografenverbände, Werbeagenturen, Kamerahersteller.</w:t>
      </w:r>
    </w:p>
    <w:p>
      <w:pPr>
        <w:spacing w:after="100" w:line="276"/>
      </w:pPr>
      <w:r>
        <w:rPr>
          <w:rFonts w:ascii="Calibri" w:cs="Calibri" w:eastAsia="Calibri" w:hAnsi="Calibri"/>
          <w:b/>
          <w:bCs/>
          <w:color w:val="1F3A5F"/>
          <w:sz w:val="21"/>
          <w:szCs w:val="21"/>
        </w:rPr>
        <w:t xml:space="preserve">Auslöser. </w:t>
      </w:r>
      <w:r>
        <w:rPr>
          <w:rFonts w:ascii="Calibri" w:cs="Calibri" w:eastAsia="Calibri" w:hAnsi="Calibri"/>
          <w:sz w:val="21"/>
          <w:szCs w:val="21"/>
        </w:rPr>
        <w:t xml:space="preserve">EU AI Act Art. 50, Deepfake-Skandale, Urheberrechtsstreit um KI-Training, C2PA-Adoption durch Kamerahersteller.</w:t>
      </w:r>
    </w:p>
    <w:p>
      <w:pPr>
        <w:spacing w:after="100" w:line="276"/>
      </w:pPr>
      <w:r>
        <w:rPr>
          <w:rFonts w:ascii="Calibri" w:cs="Calibri" w:eastAsia="Calibri" w:hAnsi="Calibri"/>
          <w:b/>
          <w:bCs/>
          <w:color w:val="1F3A5F"/>
          <w:sz w:val="21"/>
          <w:szCs w:val="21"/>
        </w:rPr>
        <w:t xml:space="preserve">Stand heute / Wettbewerb. </w:t>
      </w:r>
      <w:r>
        <w:rPr>
          <w:rFonts w:ascii="Calibri" w:cs="Calibri" w:eastAsia="Calibri" w:hAnsi="Calibri"/>
          <w:sz w:val="21"/>
          <w:szCs w:val="21"/>
        </w:rPr>
        <w:t xml:space="preserve">C2PA wird von Adobe, Leica, Sony, Nikon, Google und Samsung unterstützt; dpa und mehrere Medienhäuser sind Mitglieder der Content Authenticity Initiative. Der Markt bewegt sich, aber vor allem auf Ebene großer Konzerne.</w:t>
      </w:r>
    </w:p>
    <w:p>
      <w:pPr>
        <w:pStyle w:val="Heading3"/>
        <w:keepNext/>
        <w:spacing w:after="100" w:before="220"/>
      </w:pPr>
      <w:r>
        <w:t xml:space="preserve">Potenzielle Kunden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2000"/>
        <w:gridCol w:w="2700"/>
        <w:gridCol w:w="2238"/>
      </w:tblGrid>
      <w:tr>
        <w:trPr>
          <w:cantSplit/>
          <w:tblHeader/>
        </w:trPr>
        <w:tc>
          <w:tcPr>
            <w:tcW w:type="dxa" w:w="27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Organisation</w:t>
            </w:r>
          </w:p>
        </w:tc>
        <w:tc>
          <w:tcPr>
            <w:tcW w:type="dxa" w:w="20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Typ / Sitz</w:t>
            </w:r>
          </w:p>
        </w:tc>
        <w:tc>
          <w:tcPr>
            <w:tcW w:type="dxa" w:w="27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Zielrolle (Ansprechpartner)</w:t>
            </w:r>
          </w:p>
        </w:tc>
        <w:tc>
          <w:tcPr>
            <w:tcW w:type="dxa" w:w="2238"/>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Web / Zugang</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dpa Deutsche Presse-Agentur</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Nachrichtenagentur, Hamburg/Berlin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Verifikation; dpa-Faktencheck; Bild</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dpa.com</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picture alliance</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Bildagentur, Frankfurt</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Produktmanagement</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picture-alliance.com</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Getty Images Deutschland</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Bildagentur</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Content Operations</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gettyimages.de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FREELENS</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Fotojournalisten-Verband, Hamburg</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Vorstand</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freelens.com</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BVPA Bundesverband professioneller Bildanbieter</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Verband, Berlin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Geschäftsführung</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bvpa.org</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BFF Berufsverband Freie Fotografen und Filmgestalter</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Verband, Stuttgart</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Geschäftsstelle</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bff.de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VG Bild-Kunst</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Verwertungsgesellschaft, Bonn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Geschäftsführung; Digitalisierung</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bildkunst.de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DJV Deutscher Journalisten-Verband</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Verband, Berlin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Fachausschuss Bild</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djv.de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CORRECTIV</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Recherchezentrum, Essen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Faktencheck-Redaktion</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correctiv.org</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ARD-faktenfinder / ZDF-Verifikation</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Öffentlich-rechtliche Verifikationsteams</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Leitung Verifikation</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tagesschau.de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Leica Camera</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Kamerahersteller, Wetzlar</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Produktmanagement (Content Credentials)</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leica-camera.com</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GWA Gesamtverband Kommunikationsagenturen</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Verband, Frankfurt</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Geschäftsführung</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gwa.de</w:t>
            </w:r>
          </w:p>
        </w:tc>
      </w:tr>
      <w:tr>
        <w:trPr>
          <w:cantSplit/>
        </w:trPr>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OWM Organisation Werbungtreibende im Markenverband</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Verband, Berlin</w:t>
            </w:r>
          </w:p>
        </w:tc>
        <w:tc>
          <w:tcPr>
            <w:tcW w:type="dxa" w:w="27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Geschäftsführung</w:t>
            </w:r>
          </w:p>
        </w:tc>
        <w:tc>
          <w:tcPr>
            <w:tcW w:type="dxa" w:w="2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owm.de</w:t>
            </w:r>
          </w:p>
        </w:tc>
      </w:tr>
      <w:tr>
        <w:trPr>
          <w:cantSplit/>
        </w:trPr>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die medienanstalten (ALM)</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Aufsicht, Berlin</w:t>
            </w:r>
          </w:p>
        </w:tc>
        <w:tc>
          <w:tcPr>
            <w:tcW w:type="dxa" w:w="27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Gemeinsame Geschäftsstelle; KI-Kennzeichnung</w:t>
            </w:r>
          </w:p>
        </w:tc>
        <w:tc>
          <w:tcPr>
            <w:tcW w:type="dxa" w:w="2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die-medienanstalten.de</w:t>
            </w:r>
          </w:p>
        </w:tc>
      </w:tr>
    </w:tbl>
    <w:p>
      <w:pPr>
        <w:spacing w:after="80"/>
      </w:pPr>
    </w:p>
    <w:p>
      <w:pPr>
        <w:pStyle w:val="Heading3"/>
        <w:keepNext/>
        <w:spacing w:after="100" w:before="220"/>
      </w:pPr>
      <w:r>
        <w:t xml:space="preserve">Multiplikatoren und Zugang</w:t>
      </w:r>
    </w:p>
    <w:p>
      <w:pPr>
        <w:pStyle w:val="ListParagraph"/>
        <w:numPr>
          <w:ilvl w:val="0"/>
          <w:numId w:val="2"/>
        </w:numPr>
        <w:spacing w:after="60" w:line="276"/>
      </w:pPr>
      <w:r>
        <w:rPr>
          <w:rFonts w:ascii="Calibri" w:cs="Calibri" w:eastAsia="Calibri" w:hAnsi="Calibri"/>
          <w:sz w:val="21"/>
          <w:szCs w:val="21"/>
        </w:rPr>
        <w:t xml:space="preserve">Content Authenticity Initiative (Adobe) als Netzwerk.</w:t>
      </w:r>
    </w:p>
    <w:p>
      <w:pPr>
        <w:pStyle w:val="ListParagraph"/>
        <w:numPr>
          <w:ilvl w:val="0"/>
          <w:numId w:val="2"/>
        </w:numPr>
        <w:spacing w:after="60" w:line="276"/>
      </w:pPr>
      <w:r>
        <w:rPr>
          <w:rFonts w:ascii="Calibri" w:cs="Calibri" w:eastAsia="Calibri" w:hAnsi="Calibri"/>
          <w:sz w:val="21"/>
          <w:szCs w:val="21"/>
        </w:rPr>
        <w:t xml:space="preserve">Fotografenverbände erreichen Freiberufler.</w:t>
      </w:r>
    </w:p>
    <w:p>
      <w:pPr>
        <w:pStyle w:val="Heading3"/>
        <w:keepNext/>
        <w:spacing w:after="100" w:before="220"/>
      </w:pPr>
      <w:r>
        <w:t xml:space="preserve">Empfohlener Einstieg</w:t>
      </w:r>
    </w:p>
    <w:p>
      <w:pPr>
        <w:pStyle w:val="ListParagraph"/>
        <w:numPr>
          <w:ilvl w:val="0"/>
          <w:numId w:val="2"/>
        </w:numPr>
        <w:spacing w:after="60" w:line="276"/>
      </w:pPr>
      <w:r>
        <w:rPr>
          <w:rFonts w:ascii="Calibri" w:cs="Calibri" w:eastAsia="Calibri" w:hAnsi="Calibri"/>
          <w:sz w:val="21"/>
          <w:szCs w:val="21"/>
        </w:rPr>
        <w:t xml:space="preserve">Kein Kernmarkt für ein Abnahme-Produkt; beobachten und C2PA-Kompatibilität sicherstellen.</w:t>
      </w:r>
    </w:p>
    <w:p>
      <w:r>
        <w:br w:type="page"/>
      </w:r>
    </w:p>
    <w:p>
      <w:pPr>
        <w:pStyle w:val="Heading1"/>
        <w:keepNext/>
        <w:spacing w:after="200" w:before="360"/>
      </w:pPr>
      <w:r>
        <w:t xml:space="preserve">13. Wettbewerber und Technologiepartner</w:t>
      </w:r>
    </w:p>
    <w:p>
      <w:pPr>
        <w:spacing w:after="120" w:before="0" w:line="276"/>
      </w:pPr>
      <w:r>
        <w:rPr>
          <w:rFonts w:ascii="Calibri" w:cs="Calibri" w:eastAsia="Calibri" w:hAnsi="Calibri"/>
          <w:sz w:val="21"/>
          <w:szCs w:val="21"/>
        </w:rPr>
        <w:t xml:space="preserve">Kein Anbieter bedient heute den deutschen Markt mit einer vertikalen, gerichtsfesten Beweisdokumentation über mehrere der genannten Segmente. Die Konkurrenz teilt sich in generische Beweisfoto-Apps ohne Vertrieb, vertikale Doku-Software ohne Beweisschicht und Plattformstandards, die die Erfassung zur Commodity machen.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1100"/>
        <w:gridCol w:w="3238"/>
        <w:gridCol w:w="2800"/>
      </w:tblGrid>
      <w:tr>
        <w:trPr>
          <w:cantSplit/>
          <w:tblHeader/>
        </w:trPr>
        <w:tc>
          <w:tcPr>
            <w:tcW w:type="dxa" w:w="25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Anbieter / Standard</w:t>
            </w:r>
          </w:p>
        </w:tc>
        <w:tc>
          <w:tcPr>
            <w:tcW w:type="dxa" w:w="11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Herkunft</w:t>
            </w:r>
          </w:p>
        </w:tc>
        <w:tc>
          <w:tcPr>
            <w:tcW w:type="dxa" w:w="3238"/>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Was sie tun</w:t>
            </w:r>
          </w:p>
        </w:tc>
        <w:tc>
          <w:tcPr>
            <w:tcW w:type="dxa" w:w="28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Einordnung</w:t>
            </w:r>
          </w:p>
        </w:tc>
      </w:tr>
      <w:tr>
        <w:trPr>
          <w:cantSplit/>
        </w:trPr>
        <w:tc>
          <w:tcPr>
            <w:tcW w:type="dxa" w:w="25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Truepic</w:t>
            </w:r>
          </w:p>
        </w:tc>
        <w:tc>
          <w:tcPr>
            <w:tcW w:type="dxa" w:w="11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USA</w:t>
            </w:r>
          </w:p>
        </w:tc>
        <w:tc>
          <w:tcPr>
            <w:tcW w:type="dxa" w:w="3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Manipulationssichere Aufnahme (Controlled Capture), C2PA; Fokus Versicherer, Kreditgeber</w:t>
            </w:r>
          </w:p>
        </w:tc>
        <w:tc>
          <w:tcPr>
            <w:tcW w:type="dxa" w:w="28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Direkter Wettbewerber im Versicherungssegment, in Europa kaum präsent</w:t>
            </w:r>
          </w:p>
        </w:tc>
      </w:tr>
      <w:tr>
        <w:trPr>
          <w:cantSplit/>
        </w:trPr>
        <w:tc>
          <w:tcPr>
            <w:tcW w:type="dxa" w:w="25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ProofMode (Guardian Project)</w:t>
            </w:r>
          </w:p>
        </w:tc>
        <w:tc>
          <w:tcPr>
            <w:tcW w:type="dxa" w:w="11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USA, Open Source</w:t>
            </w:r>
          </w:p>
        </w:tc>
        <w:tc>
          <w:tcPr>
            <w:tcW w:type="dxa" w:w="3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Signierte Fotos mit Metadaten, Notarisierung; Fokus Menschenrechte</w:t>
            </w:r>
          </w:p>
        </w:tc>
        <w:tc>
          <w:tcPr>
            <w:tcW w:type="dxa" w:w="28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Kostenlos, kein Vertrieb, kein Workflow</w:t>
            </w:r>
          </w:p>
        </w:tc>
      </w:tr>
      <w:tr>
        <w:trPr>
          <w:cantSplit/>
        </w:trPr>
        <w:tc>
          <w:tcPr>
            <w:tcW w:type="dxa" w:w="25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Numbers Protocol</w:t>
            </w:r>
          </w:p>
        </w:tc>
        <w:tc>
          <w:tcPr>
            <w:tcW w:type="dxa" w:w="11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Taiwan</w:t>
            </w:r>
          </w:p>
        </w:tc>
        <w:tc>
          <w:tcPr>
            <w:tcW w:type="dxa" w:w="3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Blockchain-Registrierung von Medien, Capture-App</w:t>
            </w:r>
          </w:p>
        </w:tc>
        <w:tc>
          <w:tcPr>
            <w:tcW w:type="dxa" w:w="28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Web3-Ansatz, wenig B2B-Traktion</w:t>
            </w:r>
          </w:p>
        </w:tc>
      </w:tr>
      <w:tr>
        <w:trPr>
          <w:cantSplit/>
        </w:trPr>
        <w:tc>
          <w:tcPr>
            <w:tcW w:type="dxa" w:w="25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eyeWitness to Atrocities</w:t>
            </w:r>
          </w:p>
        </w:tc>
        <w:tc>
          <w:tcPr>
            <w:tcW w:type="dxa" w:w="11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UK, NGO</w:t>
            </w:r>
          </w:p>
        </w:tc>
        <w:tc>
          <w:tcPr>
            <w:tcW w:type="dxa" w:w="3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Beweissichere App für Kriegsverbrechen</w:t>
            </w:r>
          </w:p>
        </w:tc>
        <w:tc>
          <w:tcPr>
            <w:tcW w:type="dxa" w:w="28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Kein kommerzieller Markt</w:t>
            </w:r>
          </w:p>
        </w:tc>
      </w:tr>
      <w:tr>
        <w:trPr>
          <w:cantSplit/>
        </w:trPr>
        <w:tc>
          <w:tcPr>
            <w:tcW w:type="dxa" w:w="25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Record360</w:t>
            </w:r>
          </w:p>
        </w:tc>
        <w:tc>
          <w:tcPr>
            <w:tcW w:type="dxa" w:w="11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USA</w:t>
            </w:r>
          </w:p>
        </w:tc>
        <w:tc>
          <w:tcPr>
            <w:tcW w:type="dxa" w:w="3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Übergabeprotokolle für Geräte- und Fahrzeugvermietung</w:t>
            </w:r>
          </w:p>
        </w:tc>
        <w:tc>
          <w:tcPr>
            <w:tcW w:type="dxa" w:w="28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Nächster Wettbewerber für C1/C2, nicht in Europa aktiv</w:t>
            </w:r>
          </w:p>
        </w:tc>
      </w:tr>
      <w:tr>
        <w:trPr>
          <w:cantSplit/>
        </w:trPr>
        <w:tc>
          <w:tcPr>
            <w:tcW w:type="dxa" w:w="25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PlanRadar, Capmo, Docu Tools, 123erfasst, Craftnote, Sablono</w:t>
            </w:r>
          </w:p>
        </w:tc>
        <w:tc>
          <w:tcPr>
            <w:tcW w:type="dxa" w:w="11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AT/DE</w:t>
            </w:r>
          </w:p>
        </w:tc>
        <w:tc>
          <w:tcPr>
            <w:tcW w:type="dxa" w:w="3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Baustellendokumentation, Mängelmanagement</w:t>
            </w:r>
          </w:p>
        </w:tc>
        <w:tc>
          <w:tcPr>
            <w:tcW w:type="dxa" w:w="28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Wettbewerber im Bau ohne Beweisschicht; auch als Integrationspartner denkbar</w:t>
            </w:r>
          </w:p>
        </w:tc>
      </w:tr>
      <w:tr>
        <w:trPr>
          <w:cantSplit/>
        </w:trPr>
        <w:tc>
          <w:tcPr>
            <w:tcW w:type="dxa" w:w="25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ProovStation, UVeye, Ravin AI, WENN</w:t>
            </w:r>
          </w:p>
        </w:tc>
        <w:tc>
          <w:tcPr>
            <w:tcW w:type="dxa" w:w="11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FR/IL/UK</w:t>
            </w:r>
          </w:p>
        </w:tc>
        <w:tc>
          <w:tcPr>
            <w:tcW w:type="dxa" w:w="3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KI-Schadenscan an Fahrzeugen</w:t>
            </w:r>
          </w:p>
        </w:tc>
        <w:tc>
          <w:tcPr>
            <w:tcW w:type="dxa" w:w="28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Stationär, ergänzend zur mobilen Übergabe</w:t>
            </w:r>
          </w:p>
        </w:tc>
      </w:tr>
      <w:tr>
        <w:trPr>
          <w:cantSplit/>
        </w:trPr>
        <w:tc>
          <w:tcPr>
            <w:tcW w:type="dxa" w:w="25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Control€xpert, Innovation Group, Solera/Audatex, Tractable</w:t>
            </w:r>
          </w:p>
        </w:tc>
        <w:tc>
          <w:tcPr>
            <w:tcW w:type="dxa" w:w="11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DE/UK</w:t>
            </w:r>
          </w:p>
        </w:tc>
        <w:tc>
          <w:tcPr>
            <w:tcW w:type="dxa" w:w="3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Schadenkalkulation und Bild-KI für Versicherer</w:t>
            </w:r>
          </w:p>
        </w:tc>
        <w:tc>
          <w:tcPr>
            <w:tcW w:type="dxa" w:w="28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Potenzielle Partner, prüfen keine Herkunft</w:t>
            </w:r>
          </w:p>
        </w:tc>
      </w:tr>
      <w:tr>
        <w:trPr>
          <w:cantSplit/>
        </w:trPr>
        <w:tc>
          <w:tcPr>
            <w:tcW w:type="dxa" w:w="25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Imagetwin, Proofig</w:t>
            </w:r>
          </w:p>
        </w:tc>
        <w:tc>
          <w:tcPr>
            <w:tcW w:type="dxa" w:w="11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AT/IL</w:t>
            </w:r>
          </w:p>
        </w:tc>
        <w:tc>
          <w:tcPr>
            <w:tcW w:type="dxa" w:w="3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Nachträgliche Bildforensik für Wissenschaft</w:t>
            </w:r>
          </w:p>
        </w:tc>
        <w:tc>
          <w:tcPr>
            <w:tcW w:type="dxa" w:w="28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Komplementär, Partnerschaft möglich</w:t>
            </w:r>
          </w:p>
        </w:tc>
      </w:tr>
      <w:tr>
        <w:trPr>
          <w:cantSplit/>
        </w:trPr>
        <w:tc>
          <w:tcPr>
            <w:tcW w:type="dxa" w:w="25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IDnow, WebID, Nect, Verimi</w:t>
            </w:r>
          </w:p>
        </w:tc>
        <w:tc>
          <w:tcPr>
            <w:tcW w:type="dxa" w:w="11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DE</w:t>
            </w:r>
          </w:p>
        </w:tc>
        <w:tc>
          <w:tcPr>
            <w:tcW w:type="dxa" w:w="3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Identitätsprüfung</w:t>
            </w:r>
          </w:p>
        </w:tc>
        <w:tc>
          <w:tcPr>
            <w:tcW w:type="dxa" w:w="28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Partner für KYC-Segment</w:t>
            </w:r>
          </w:p>
        </w:tc>
      </w:tr>
      <w:tr>
        <w:trPr>
          <w:cantSplit/>
        </w:trPr>
        <w:tc>
          <w:tcPr>
            <w:tcW w:type="dxa" w:w="25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C2PA / Content Credentials (Adobe, Google, Samsung, Leica, Sony, Nikon)</w:t>
            </w:r>
          </w:p>
        </w:tc>
        <w:tc>
          <w:tcPr>
            <w:tcW w:type="dxa" w:w="11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Global</w:t>
            </w:r>
          </w:p>
        </w:tc>
        <w:tc>
          <w:tcPr>
            <w:tcW w:type="dxa" w:w="3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Offener Standard für Herkunftsnachweis auf Geräteebene</w:t>
            </w:r>
          </w:p>
        </w:tc>
        <w:tc>
          <w:tcPr>
            <w:tcW w:type="dxa" w:w="28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Wird die Erfassungsschicht zur Commodity machen; Kompatibilität ist Pflicht</w:t>
            </w:r>
          </w:p>
        </w:tc>
      </w:tr>
      <w:tr>
        <w:trPr>
          <w:cantSplit/>
        </w:trPr>
        <w:tc>
          <w:tcPr>
            <w:tcW w:type="dxa" w:w="25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OriginStamp</w:t>
            </w:r>
          </w:p>
        </w:tc>
        <w:tc>
          <w:tcPr>
            <w:tcW w:type="dxa" w:w="11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Konstanz</w:t>
            </w:r>
          </w:p>
        </w:tc>
        <w:tc>
          <w:tcPr>
            <w:tcW w:type="dxa" w:w="3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Zeitstempel und Blockchain-Verankerung von Dateien</w:t>
            </w:r>
          </w:p>
        </w:tc>
        <w:tc>
          <w:tcPr>
            <w:tcW w:type="dxa" w:w="28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Möglicher Technologiepartner</w:t>
            </w:r>
          </w:p>
        </w:tc>
      </w:tr>
      <w:tr>
        <w:trPr>
          <w:cantSplit/>
        </w:trPr>
        <w:tc>
          <w:tcPr>
            <w:tcW w:type="dxa" w:w="25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D-Trust (Bundesdruckerei), Telekom Trust Center, DGN, Swisscom Trust Services</w:t>
            </w:r>
          </w:p>
        </w:tc>
        <w:tc>
          <w:tcPr>
            <w:tcW w:type="dxa" w:w="11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DE/CH</w:t>
            </w:r>
          </w:p>
        </w:tc>
        <w:tc>
          <w:tcPr>
            <w:tcW w:type="dxa" w:w="32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Qualifizierte eIDAS-Zeitstempel und Signaturen</w:t>
            </w:r>
          </w:p>
        </w:tc>
        <w:tc>
          <w:tcPr>
            <w:tcW w:type="dxa" w:w="28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Technologiepartner für gerichtsfeste Zeitstempel</w:t>
            </w:r>
          </w:p>
        </w:tc>
      </w:tr>
      <w:tr>
        <w:trPr>
          <w:cantSplit/>
        </w:trPr>
        <w:tc>
          <w:tcPr>
            <w:tcW w:type="dxa" w:w="25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Governikus, BSI TR-ESOR</w:t>
            </w:r>
          </w:p>
        </w:tc>
        <w:tc>
          <w:tcPr>
            <w:tcW w:type="dxa" w:w="11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DE</w:t>
            </w:r>
          </w:p>
        </w:tc>
        <w:tc>
          <w:tcPr>
            <w:tcW w:type="dxa" w:w="32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Beweiswerterhaltende Langzeitaufbewahrung</w:t>
            </w:r>
          </w:p>
        </w:tc>
        <w:tc>
          <w:tcPr>
            <w:tcW w:type="dxa" w:w="28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Standard und Partner für Behörden- und Justizmarkt</w:t>
            </w:r>
          </w:p>
        </w:tc>
      </w:tr>
    </w:tbl>
    <w:p>
      <w:pPr>
        <w:spacing w:after="120"/>
      </w:pPr>
    </w:p>
    <w:p>
      <w:pPr>
        <w:pStyle w:val="Heading2"/>
        <w:keepNext/>
        <w:spacing w:after="140" w:before="300"/>
      </w:pPr>
      <w:r>
        <w:t xml:space="preserve">13.1 Technische Bausteine einer gerichtsfesten Lösung</w:t>
      </w:r>
    </w:p>
    <w:p>
      <w:pPr>
        <w:pStyle w:val="ListParagraph"/>
        <w:numPr>
          <w:ilvl w:val="0"/>
          <w:numId w:val="2"/>
        </w:numPr>
        <w:spacing w:after="60" w:line="276"/>
      </w:pPr>
      <w:r>
        <w:rPr>
          <w:rFonts w:ascii="Calibri" w:cs="Calibri" w:eastAsia="Calibri" w:hAnsi="Calibri"/>
          <w:sz w:val="21"/>
          <w:szCs w:val="21"/>
        </w:rPr>
        <w:t xml:space="preserve">Erfassung am Gerät: Hash des Originals im Moment der Aufnahme, Gerätesignatur (Secure Enclave / Android Keystore), Geoposition, Sensordaten; C2PA-Manifest für Interoperabilität.</w:t>
      </w:r>
    </w:p>
    <w:p>
      <w:pPr>
        <w:pStyle w:val="ListParagraph"/>
        <w:numPr>
          <w:ilvl w:val="0"/>
          <w:numId w:val="2"/>
        </w:numPr>
        <w:spacing w:after="60" w:line="276"/>
      </w:pPr>
      <w:r>
        <w:rPr>
          <w:rFonts w:ascii="Calibri" w:cs="Calibri" w:eastAsia="Calibri" w:hAnsi="Calibri"/>
          <w:sz w:val="21"/>
          <w:szCs w:val="21"/>
        </w:rPr>
        <w:t xml:space="preserve">Qualifizierter elektronischer Zeitstempel nach eIDAS (Art. 41 Beweisvermutung) über einen Vertrauensdiensteanbieter (D-Trust, Telekom, DGN, Swisscom).</w:t>
      </w:r>
    </w:p>
    <w:p>
      <w:pPr>
        <w:pStyle w:val="ListParagraph"/>
        <w:numPr>
          <w:ilvl w:val="0"/>
          <w:numId w:val="2"/>
        </w:numPr>
        <w:spacing w:after="60" w:line="276"/>
      </w:pPr>
      <w:r>
        <w:rPr>
          <w:rFonts w:ascii="Calibri" w:cs="Calibri" w:eastAsia="Calibri" w:hAnsi="Calibri"/>
          <w:sz w:val="21"/>
          <w:szCs w:val="21"/>
        </w:rPr>
        <w:t xml:space="preserve">Prozessdokumentation: wer hat wann welche Rolle gehabt, Unterschriften der Beteiligten, Versionierung, Änderungshistorie.</w:t>
      </w:r>
    </w:p>
    <w:p>
      <w:pPr>
        <w:pStyle w:val="ListParagraph"/>
        <w:numPr>
          <w:ilvl w:val="0"/>
          <w:numId w:val="2"/>
        </w:numPr>
        <w:spacing w:after="60" w:line="276"/>
      </w:pPr>
      <w:r>
        <w:rPr>
          <w:rFonts w:ascii="Calibri" w:cs="Calibri" w:eastAsia="Calibri" w:hAnsi="Calibri"/>
          <w:sz w:val="21"/>
          <w:szCs w:val="21"/>
        </w:rPr>
        <w:t xml:space="preserve">Beweiswerterhaltende Aufbewahrung nach BSI TR-ESOR für lange Gewährleistungs- und Aufbewahrungsfristen.</w:t>
      </w:r>
    </w:p>
    <w:p>
      <w:pPr>
        <w:pStyle w:val="ListParagraph"/>
        <w:numPr>
          <w:ilvl w:val="0"/>
          <w:numId w:val="2"/>
        </w:numPr>
        <w:spacing w:after="60" w:line="276"/>
      </w:pPr>
      <w:r>
        <w:rPr>
          <w:rFonts w:ascii="Calibri" w:cs="Calibri" w:eastAsia="Calibri" w:hAnsi="Calibri"/>
          <w:sz w:val="21"/>
          <w:szCs w:val="21"/>
        </w:rPr>
        <w:t xml:space="preserve">Prüfbares Exportpaket: PDF/A mit eingebetteten Hashes, Prüfprotokoll und öffentlicher Verifikationsseite, damit Gerichte, Versicherer und Auditoren ohne Software prüfen können.</w:t>
      </w:r>
    </w:p>
    <w:p>
      <w:pPr>
        <w:pStyle w:val="ListParagraph"/>
        <w:numPr>
          <w:ilvl w:val="0"/>
          <w:numId w:val="2"/>
        </w:numPr>
        <w:spacing w:after="60" w:line="276"/>
      </w:pPr>
      <w:r>
        <w:rPr>
          <w:rFonts w:ascii="Calibri" w:cs="Calibri" w:eastAsia="Calibri" w:hAnsi="Calibri"/>
          <w:sz w:val="21"/>
          <w:szCs w:val="21"/>
        </w:rPr>
        <w:t xml:space="preserve">Rechtsgutachten zum Beweiswert (§ 371 ZPO Augenscheinsbeweis, freie Beweiswürdigung) als Vertriebsdokument.</w:t>
      </w:r>
    </w:p>
    <w:p>
      <w:pPr>
        <w:pStyle w:val="Heading1"/>
        <w:keepNext/>
        <w:spacing w:after="200" w:before="360"/>
      </w:pPr>
      <w:r>
        <w:t xml:space="preserve">14. Priorisierung und Vorgehen</w:t>
      </w:r>
    </w:p>
    <w:p>
      <w:pPr>
        <w:pStyle w:val="Heading2"/>
        <w:keepNext/>
        <w:spacing w:after="140" w:before="300"/>
      </w:pPr>
      <w:r>
        <w:t xml:space="preserve">14.1 Welle 1: Protokoll-Ableger der Bauabnahme (0–6 Monate)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000"/>
        <w:gridCol w:w="2800"/>
        <w:gridCol w:w="2838"/>
        <w:gridCol w:w="2000"/>
      </w:tblGrid>
      <w:tr>
        <w:trPr>
          <w:cantSplit/>
          <w:tblHeader/>
        </w:trPr>
        <w:tc>
          <w:tcPr>
            <w:tcW w:type="dxa" w:w="20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Segment</w:t>
            </w:r>
          </w:p>
        </w:tc>
        <w:tc>
          <w:tcPr>
            <w:tcW w:type="dxa" w:w="28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Warum zuerst</w:t>
            </w:r>
          </w:p>
        </w:tc>
        <w:tc>
          <w:tcPr>
            <w:tcW w:type="dxa" w:w="2838"/>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Erster Schritt</w:t>
            </w:r>
          </w:p>
        </w:tc>
        <w:tc>
          <w:tcPr>
            <w:tcW w:type="dxa" w:w="20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Erfolgskriterium</w:t>
            </w:r>
          </w:p>
        </w:tc>
      </w:tr>
      <w:tr>
        <w:trPr>
          <w:cantSplit/>
        </w:trPr>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B2 Wohnungsübergabe</w:t>
            </w:r>
          </w:p>
        </w:tc>
        <w:tc>
          <w:tcPr>
            <w:tcW w:type="dxa" w:w="28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Gleiche Nutzer wie Bauträger-Übergabe, Millionen Vorgänge, Haus &amp; Grund und VDIV als Vertrieb</w:t>
            </w:r>
          </w:p>
        </w:tc>
        <w:tc>
          <w:tcPr>
            <w:tcW w:type="dxa" w:w="28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Pilot mit einer Hausverwaltung (200+ Einheiten) und Mieter-Selbstprotokoll als Gratisversion</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50 Übergaben ohne Kautionsstreit, Referenzfall vor Gericht</w:t>
            </w:r>
          </w:p>
        </w:tc>
      </w:tr>
      <w:tr>
        <w:trPr>
          <w:cantSplit/>
        </w:trPr>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C2 Gerätevermietung</w:t>
            </w:r>
          </w:p>
        </w:tc>
        <w:tc>
          <w:tcPr>
            <w:tcW w:type="dxa" w:w="28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Baustellennähe, Record360 zeigt Marktbedarf, wenig Konkurrenz in Europa</w:t>
            </w:r>
          </w:p>
        </w:tc>
        <w:tc>
          <w:tcPr>
            <w:tcW w:type="dxa" w:w="28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Regionaler Vermieter (z. B. Beutlhauser) als Pilot, Vorstellung bei Zeppelin Rental</w:t>
            </w:r>
          </w:p>
        </w:tc>
        <w:tc>
          <w:tcPr>
            <w:tcW w:type="dxa" w:w="2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Schadenquote im Pilot messbar gesenkt</w:t>
            </w:r>
          </w:p>
        </w:tc>
      </w:tr>
      <w:tr>
        <w:trPr>
          <w:cantSplit/>
        </w:trPr>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E1 Winterdienst</w:t>
            </w:r>
          </w:p>
        </w:tc>
        <w:tc>
          <w:tcPr>
            <w:tcW w:type="dxa" w:w="28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Saisonfenster, existenzielle Haftung, kein Anbieter für Handräumung</w:t>
            </w:r>
          </w:p>
        </w:tc>
        <w:tc>
          <w:tcPr>
            <w:tcW w:type="dxa" w:w="28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Angebot an einen Gebäudedienstleister und ein Wohnungsunternehmen für Winter 2026/27</w:t>
            </w:r>
          </w:p>
        </w:tc>
        <w:tc>
          <w:tcPr>
            <w:tcW w:type="dxa" w:w="2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Ein Haftpflichtfall mit dem Protokoll abgewehrt</w:t>
            </w:r>
          </w:p>
        </w:tc>
      </w:tr>
    </w:tbl>
    <w:p>
      <w:pPr>
        <w:spacing w:after="120"/>
      </w:pPr>
    </w:p>
    <w:p>
      <w:pPr>
        <w:pStyle w:val="Heading2"/>
        <w:keepNext/>
        <w:spacing w:after="140" w:before="300"/>
      </w:pPr>
      <w:r>
        <w:t xml:space="preserve">14.2 Welle 2: Neue Prüfinstanzen gewinnen (6–18 Monate)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3838"/>
        <w:gridCol w:w="3400"/>
      </w:tblGrid>
      <w:tr>
        <w:trPr>
          <w:cantSplit/>
          <w:tblHeader/>
        </w:trPr>
        <w:tc>
          <w:tcPr>
            <w:tcW w:type="dxa" w:w="24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Segment</w:t>
            </w:r>
          </w:p>
        </w:tc>
        <w:tc>
          <w:tcPr>
            <w:tcW w:type="dxa" w:w="3838"/>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Hebel</w:t>
            </w:r>
          </w:p>
        </w:tc>
        <w:tc>
          <w:tcPr>
            <w:tcW w:type="dxa" w:w="34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Erster Schritt</w:t>
            </w:r>
          </w:p>
        </w:tc>
      </w:tr>
      <w:tr>
        <w:trPr>
          <w:cantSplit/>
        </w:trPr>
        <w:tc>
          <w:tcPr>
            <w:tcW w:type="dxa" w:w="24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C1 Fahrzeugrückgabe</w:t>
            </w:r>
          </w:p>
        </w:tc>
        <w:tc>
          <w:tcPr>
            <w:tcW w:type="dxa" w:w="38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Carsharing ohne Personal vor Ort, Leasingrücknahme mit DAT/Dekra-Standard</w:t>
            </w:r>
          </w:p>
        </w:tc>
        <w:tc>
          <w:tcPr>
            <w:tcW w:type="dxa" w:w="34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MILES oder cambio als Pilot, dann Deutsche Leasing / VWFS</w:t>
            </w:r>
          </w:p>
        </w:tc>
      </w:tr>
      <w:tr>
        <w:trPr>
          <w:cantSplit/>
        </w:trPr>
        <w:tc>
          <w:tcPr>
            <w:tcW w:type="dxa" w:w="24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E2 Verkehrssicherungspflicht</w:t>
            </w:r>
          </w:p>
        </w:tc>
        <w:tc>
          <w:tcPr>
            <w:tcW w:type="dxa" w:w="38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Kommunalversicherer tragen den Schaden und können Nachweis vorschreiben</w:t>
            </w:r>
          </w:p>
        </w:tc>
        <w:tc>
          <w:tcPr>
            <w:tcW w:type="dxa" w:w="34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Gemeinsames Pilotprojekt mit GVV Kommunalversicherung und drei Kommunen</w:t>
            </w:r>
          </w:p>
        </w:tc>
      </w:tr>
      <w:tr>
        <w:trPr>
          <w:cantSplit/>
        </w:trPr>
        <w:tc>
          <w:tcPr>
            <w:tcW w:type="dxa" w:w="24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F1 Förderprogramme</w:t>
            </w:r>
          </w:p>
        </w:tc>
        <w:tc>
          <w:tcPr>
            <w:tcW w:type="dxa" w:w="38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Zahlstelle setzt Standard für alle Antragsteller</w:t>
            </w:r>
          </w:p>
        </w:tc>
        <w:tc>
          <w:tcPr>
            <w:tcW w:type="dxa" w:w="34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Installateur-Pilot (Enpal, Thermondo) und Fachgespräch mit KfW/BAFA</w:t>
            </w:r>
          </w:p>
        </w:tc>
      </w:tr>
      <w:tr>
        <w:trPr>
          <w:cantSplit/>
        </w:trPr>
        <w:tc>
          <w:tcPr>
            <w:tcW w:type="dxa" w:w="24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C3 Umzug, C4 Charter, C5 Ferienwohnung</w:t>
            </w:r>
          </w:p>
        </w:tc>
        <w:tc>
          <w:tcPr>
            <w:tcW w:type="dxa" w:w="38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Verbandsvertrieb (AMÖ, CIVD, Ferienhausverband), Versicherer (KRAVAG, Pantaenius)</w:t>
            </w:r>
          </w:p>
        </w:tc>
        <w:tc>
          <w:tcPr>
            <w:tcW w:type="dxa" w:w="34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Verbandsangebot als Mitgliedervorteil, Preis pro Vorgang</w:t>
            </w:r>
          </w:p>
        </w:tc>
      </w:tr>
    </w:tbl>
    <w:p>
      <w:pPr>
        <w:spacing w:after="120"/>
      </w:pPr>
    </w:p>
    <w:p>
      <w:pPr>
        <w:pStyle w:val="Heading2"/>
        <w:keepNext/>
        <w:spacing w:after="140" w:before="300"/>
      </w:pPr>
      <w:r>
        <w:t xml:space="preserve">14.3 Welle 3: Standardsetzer und Volumenmärkte (ab 18 Monaten)</w:t>
      </w:r>
    </w:p>
    <w:p>
      <w:pPr>
        <w:pStyle w:val="ListParagraph"/>
        <w:numPr>
          <w:ilvl w:val="0"/>
          <w:numId w:val="2"/>
        </w:numPr>
        <w:spacing w:after="60" w:line="276"/>
      </w:pPr>
      <w:r>
        <w:rPr>
          <w:rFonts w:ascii="Calibri" w:cs="Calibri" w:eastAsia="Calibri" w:hAnsi="Calibri"/>
          <w:sz w:val="21"/>
          <w:szCs w:val="21"/>
        </w:rPr>
        <w:t xml:space="preserve">A1 Versicherer: mit Referenzen aus Bau, Wohnung und Fahrzeug an Schadenleiter und GDV-Arbeitskreis Betrugsabwehr.</w:t>
      </w:r>
    </w:p>
    <w:p>
      <w:pPr>
        <w:pStyle w:val="ListParagraph"/>
        <w:numPr>
          <w:ilvl w:val="0"/>
          <w:numId w:val="2"/>
        </w:numPr>
        <w:spacing w:after="60" w:line="276"/>
      </w:pPr>
      <w:r>
        <w:rPr>
          <w:rFonts w:ascii="Calibri" w:cs="Calibri" w:eastAsia="Calibri" w:hAnsi="Calibri"/>
          <w:sz w:val="21"/>
          <w:szCs w:val="21"/>
        </w:rPr>
        <w:t xml:space="preserve">D2 Retourenbetrug: Hochwert-Segmente (Uhren, Refurbished-Elektronik) über Chrono24, rebuy, Back Market.</w:t>
      </w:r>
    </w:p>
    <w:p>
      <w:pPr>
        <w:pStyle w:val="ListParagraph"/>
        <w:numPr>
          <w:ilvl w:val="0"/>
          <w:numId w:val="2"/>
        </w:numPr>
        <w:spacing w:after="60" w:line="276"/>
      </w:pPr>
      <w:r>
        <w:rPr>
          <w:rFonts w:ascii="Calibri" w:cs="Calibri" w:eastAsia="Calibri" w:hAnsi="Calibri"/>
          <w:sz w:val="21"/>
          <w:szCs w:val="21"/>
        </w:rPr>
        <w:t xml:space="preserve">D1 Logistik, G1 Sachverständige, G4 Drohneninspektion, E5 Arbeitsschutz: Integration in bestehende Workflows (SDK) statt eigener App.</w:t>
      </w:r>
    </w:p>
    <w:p>
      <w:pPr>
        <w:pStyle w:val="Heading2"/>
        <w:keepNext/>
        <w:spacing w:after="140" w:before="300"/>
      </w:pPr>
      <w:r>
        <w:t xml:space="preserve">14.4 Beobachten</w:t>
      </w:r>
    </w:p>
    <w:p>
      <w:pPr>
        <w:spacing w:after="120" w:before="0" w:line="276"/>
      </w:pPr>
      <w:r>
        <w:rPr>
          <w:rFonts w:ascii="Calibri" w:cs="Calibri" w:eastAsia="Calibri" w:hAnsi="Calibri"/>
          <w:sz w:val="21"/>
          <w:szCs w:val="21"/>
        </w:rPr>
        <w:t xml:space="preserve">Justiz und Polizei (H4), Pflege (H1), Medizin (H2), Jugendamt (H3), KYC (D4), Forschung (I1), Medien (I2), Zählerstände (F2), Umweltnachweise (F4), Kunst (G3), Pferde (G2), Industrie (G5), Exposéfotos (B3), Chargebacks (D3), Wachschutz (E4). Der Bedarf ist real, aber Verkaufszyklen, Beschaffungsrecht oder Plattformkonkurrenz machen sie zu Folgemärkten. Bei konkreter Anfrage lässt sich jedes dieser Segmente mit der bestehenden Technik bedienen.</w:t>
      </w:r>
    </w:p>
    <w:p>
      <w:pPr>
        <w:pStyle w:val="Heading1"/>
        <w:keepNext/>
        <w:spacing w:after="200" w:before="360"/>
      </w:pPr>
      <w:r>
        <w:t xml:space="preserve">15. Vorgehen bei der Kontaktaufnahme</w:t>
      </w:r>
    </w:p>
    <w:p>
      <w:pPr>
        <w:pStyle w:val="Heading2"/>
        <w:keepNext/>
        <w:spacing w:after="140" w:before="300"/>
      </w:pPr>
      <w:r>
        <w:t xml:space="preserve">15.1 Ansprechpartner ermitteln</w:t>
      </w:r>
    </w:p>
    <w:p>
      <w:pPr>
        <w:spacing w:after="120" w:before="0" w:line="276"/>
      </w:pPr>
      <w:r>
        <w:rPr>
          <w:rFonts w:ascii="Calibri" w:cs="Calibri" w:eastAsia="Calibri" w:hAnsi="Calibri"/>
          <w:sz w:val="21"/>
          <w:szCs w:val="21"/>
        </w:rPr>
        <w:t xml:space="preserve">Dieses Dokument nennt für jede Organisation die Zielrolle, aber bewusst keine Namen, Durchwahlen oder persönlichen E-Mail-Adressen. Personenbezogene Kontaktdaten veralten schnell und dürfen nur aus zulässigen Quellen erhoben werden. Für die Recherche empfiehlt sich folgende Reihenfolge:</w:t>
      </w:r>
    </w:p>
    <w:p>
      <w:pPr>
        <w:pStyle w:val="ListParagraph"/>
        <w:numPr>
          <w:ilvl w:val="0"/>
          <w:numId w:val="3"/>
        </w:numPr>
        <w:spacing w:after="60" w:line="276"/>
      </w:pPr>
      <w:r>
        <w:rPr>
          <w:rFonts w:ascii="Calibri" w:cs="Calibri" w:eastAsia="Calibri" w:hAnsi="Calibri"/>
          <w:sz w:val="21"/>
          <w:szCs w:val="21"/>
        </w:rPr>
        <w:t xml:space="preserve">LinkedIn oder XING: Suche nach Organisation plus Zielrolle (z. B. 'Schadenmanagement', 'Leiter Fleet', 'Qualitätsmanagement'). Sales Navigator erlaubt Filter nach Abteilung und Ebene.</w:t>
      </w:r>
    </w:p>
    <w:p>
      <w:pPr>
        <w:pStyle w:val="ListParagraph"/>
        <w:numPr>
          <w:ilvl w:val="0"/>
          <w:numId w:val="3"/>
        </w:numPr>
        <w:spacing w:after="60" w:line="276"/>
      </w:pPr>
      <w:r>
        <w:rPr>
          <w:rFonts w:ascii="Calibri" w:cs="Calibri" w:eastAsia="Calibri" w:hAnsi="Calibri"/>
          <w:sz w:val="21"/>
          <w:szCs w:val="21"/>
        </w:rPr>
        <w:t xml:space="preserve">Impressum, Organigramm und Pressemitteilungen der Organisation; bei Verbänden die Seite 'Geschäftsstelle' oder 'Ansprechpartner'.</w:t>
      </w:r>
    </w:p>
    <w:p>
      <w:pPr>
        <w:pStyle w:val="ListParagraph"/>
        <w:numPr>
          <w:ilvl w:val="0"/>
          <w:numId w:val="3"/>
        </w:numPr>
        <w:spacing w:after="60" w:line="276"/>
      </w:pPr>
      <w:r>
        <w:rPr>
          <w:rFonts w:ascii="Calibri" w:cs="Calibri" w:eastAsia="Calibri" w:hAnsi="Calibri"/>
          <w:sz w:val="21"/>
          <w:szCs w:val="21"/>
        </w:rPr>
        <w:t xml:space="preserve">Referenten- und Ausstellerlisten der in Kapitel 16 genannten Messen und Kongresse; Vorträge nennen die operativ Verantwortlichen.</w:t>
      </w:r>
    </w:p>
    <w:p>
      <w:pPr>
        <w:pStyle w:val="ListParagraph"/>
        <w:numPr>
          <w:ilvl w:val="0"/>
          <w:numId w:val="3"/>
        </w:numPr>
        <w:spacing w:after="60" w:line="276"/>
      </w:pPr>
      <w:r>
        <w:rPr>
          <w:rFonts w:ascii="Calibri" w:cs="Calibri" w:eastAsia="Calibri" w:hAnsi="Calibri"/>
          <w:sz w:val="21"/>
          <w:szCs w:val="21"/>
        </w:rPr>
        <w:t xml:space="preserve">Bei Behörden: Organisationspläne und Geschäftsverteilungspläne sind öffentlich, Referatsleitungen sind dort namentlich genannt.</w:t>
      </w:r>
    </w:p>
    <w:p>
      <w:pPr>
        <w:pStyle w:val="ListParagraph"/>
        <w:numPr>
          <w:ilvl w:val="0"/>
          <w:numId w:val="3"/>
        </w:numPr>
        <w:spacing w:after="60" w:line="276"/>
      </w:pPr>
      <w:r>
        <w:rPr>
          <w:rFonts w:ascii="Calibri" w:cs="Calibri" w:eastAsia="Calibri" w:hAnsi="Calibri"/>
          <w:sz w:val="21"/>
          <w:szCs w:val="21"/>
        </w:rPr>
        <w:t xml:space="preserve">Telefonzentrale mit Bitte um Weiterleitung an die Zielrolle; im B2B-Bereich ist Telefonakquise bei mutmaßlichem Interesse zulässig (§ 7 Abs. 2 Nr. 1 UWG).</w:t>
      </w:r>
    </w:p>
    <w:p>
      <w:pPr>
        <w:pStyle w:val="Heading2"/>
        <w:keepNext/>
        <w:spacing w:after="140" w:before="300"/>
      </w:pPr>
      <w:r>
        <w:t xml:space="preserve">15.2 Rechtlicher Rahmen der Ansprache</w:t>
      </w:r>
    </w:p>
    <w:p>
      <w:pPr>
        <w:pStyle w:val="ListParagraph"/>
        <w:numPr>
          <w:ilvl w:val="0"/>
          <w:numId w:val="2"/>
        </w:numPr>
        <w:spacing w:after="60" w:line="276"/>
      </w:pPr>
      <w:r>
        <w:rPr>
          <w:rFonts w:ascii="Calibri" w:cs="Calibri" w:eastAsia="Calibri" w:hAnsi="Calibri"/>
          <w:sz w:val="21"/>
          <w:szCs w:val="21"/>
        </w:rPr>
        <w:t xml:space="preserve">Kalt-E-Mails an Personen ohne Einwilligung sind nach § 7 UWG unzulässig, auch im B2B. Zulässig sind Telefon bei mutmaßlichem Interesse, Brief, Messekontakt, Verbandsveranstaltungen und Kontakt über soziale Netzwerke im Rahmen deren Regeln.</w:t>
      </w:r>
    </w:p>
    <w:p>
      <w:pPr>
        <w:pStyle w:val="ListParagraph"/>
        <w:numPr>
          <w:ilvl w:val="0"/>
          <w:numId w:val="2"/>
        </w:numPr>
        <w:spacing w:after="60" w:line="276"/>
      </w:pPr>
      <w:r>
        <w:rPr>
          <w:rFonts w:ascii="Calibri" w:cs="Calibri" w:eastAsia="Calibri" w:hAnsi="Calibri"/>
          <w:sz w:val="21"/>
          <w:szCs w:val="21"/>
        </w:rPr>
        <w:t xml:space="preserve">Für die Speicherung von Kontaktdaten im CRM gilt Art. 6 Abs. 1 lit. f DSGVO (berechtigtes Interesse); Informationspflicht nach Art. 14 DSGVO bei Erstkontakt beachten.</w:t>
      </w:r>
    </w:p>
    <w:p>
      <w:pPr>
        <w:pStyle w:val="ListParagraph"/>
        <w:numPr>
          <w:ilvl w:val="0"/>
          <w:numId w:val="2"/>
        </w:numPr>
        <w:spacing w:after="60" w:line="276"/>
      </w:pPr>
      <w:r>
        <w:rPr>
          <w:rFonts w:ascii="Calibri" w:cs="Calibri" w:eastAsia="Calibri" w:hAnsi="Calibri"/>
          <w:sz w:val="21"/>
          <w:szCs w:val="21"/>
        </w:rPr>
        <w:t xml:space="preserve">Verbände und Versicherer sind die effizienteste Ansprache: ein Gespräch statt hundert, und ein Mitgliederrundschreiben ersetzt Kaltakquise.</w:t>
      </w:r>
    </w:p>
    <w:p>
      <w:pPr>
        <w:pStyle w:val="Heading2"/>
        <w:keepNext/>
        <w:spacing w:after="140" w:before="300"/>
      </w:pPr>
      <w:r>
        <w:t xml:space="preserve">15.3 Gesprächseinstieg je Segmenttyp</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4000"/>
        <w:gridCol w:w="3438"/>
      </w:tblGrid>
      <w:tr>
        <w:trPr>
          <w:cantSplit/>
          <w:tblHeader/>
        </w:trPr>
        <w:tc>
          <w:tcPr>
            <w:tcW w:type="dxa" w:w="22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Segmenttyp</w:t>
            </w:r>
          </w:p>
        </w:tc>
        <w:tc>
          <w:tcPr>
            <w:tcW w:type="dxa" w:w="40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Einstiegsfrage</w:t>
            </w:r>
          </w:p>
        </w:tc>
        <w:tc>
          <w:tcPr>
            <w:tcW w:type="dxa" w:w="3438"/>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Beleg, den der Kunde liefern kann</w:t>
            </w:r>
          </w:p>
        </w:tc>
      </w:tr>
      <w:tr>
        <w:trPr>
          <w:cantSplit/>
        </w:trPr>
        <w:tc>
          <w:tcPr>
            <w:tcW w:type="dxa" w:w="22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Übergabe (B2, C1–C5)</w:t>
            </w:r>
          </w:p>
        </w:tc>
        <w:tc>
          <w:tcPr>
            <w:tcW w:type="dxa" w:w="4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Wie viele Rückgaben pro Jahr enden im Streit, und wie oft geben Sie nach, weil der Beweis fehlt?</w:t>
            </w:r>
          </w:p>
        </w:tc>
        <w:tc>
          <w:tcPr>
            <w:tcW w:type="dxa" w:w="34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Anzahl strittiger Kautionen oder Schadenfälle, durchschnittlicher Verzicht in Euro</w:t>
            </w:r>
          </w:p>
        </w:tc>
      </w:tr>
      <w:tr>
        <w:trPr>
          <w:cantSplit/>
        </w:trPr>
        <w:tc>
          <w:tcPr>
            <w:tcW w:type="dxa" w:w="22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Leistungsnachweis (E1–E5)</w:t>
            </w:r>
          </w:p>
        </w:tc>
        <w:tc>
          <w:tcPr>
            <w:tcW w:type="dxa" w:w="4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Was passiert, wenn ein Unfall passiert und Sie den Nachweis der Kontrolle nicht führen können?</w:t>
            </w:r>
          </w:p>
        </w:tc>
        <w:tc>
          <w:tcPr>
            <w:tcW w:type="dxa" w:w="34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Haftpflichtfälle der letzten drei Jahre, Ausschreibungsanforderungen</w:t>
            </w:r>
          </w:p>
        </w:tc>
      </w:tr>
      <w:tr>
        <w:trPr>
          <w:cantSplit/>
        </w:trPr>
        <w:tc>
          <w:tcPr>
            <w:tcW w:type="dxa" w:w="22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Geld gegen Foto (F1–F4, D2, D3)</w:t>
            </w:r>
          </w:p>
        </w:tc>
        <w:tc>
          <w:tcPr>
            <w:tcW w:type="dxa" w:w="4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Wie prüfen Sie heute, dass ein eingereichtes Foto echt ist und zum angegebenen Zeitpunkt entstand?</w:t>
            </w:r>
          </w:p>
        </w:tc>
        <w:tc>
          <w:tcPr>
            <w:tcW w:type="dxa" w:w="34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Betrugsverdachtsfälle, Prüfquote, Rückforderungen</w:t>
            </w:r>
          </w:p>
        </w:tc>
      </w:tr>
      <w:tr>
        <w:trPr>
          <w:cantSplit/>
        </w:trPr>
        <w:tc>
          <w:tcPr>
            <w:tcW w:type="dxa" w:w="22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Gutachten (G1–G5)</w:t>
            </w:r>
          </w:p>
        </w:tc>
        <w:tc>
          <w:tcPr>
            <w:tcW w:type="dxa" w:w="40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Wurde eine Ihrer Fotodokumentationen schon einmal vor Gericht oder vom Versicherer angezweifelt?</w:t>
            </w:r>
          </w:p>
        </w:tc>
        <w:tc>
          <w:tcPr>
            <w:tcW w:type="dxa" w:w="34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Streitfälle, Haftpflichtprämie der Sachverständigen</w:t>
            </w:r>
          </w:p>
        </w:tc>
      </w:tr>
      <w:tr>
        <w:trPr>
          <w:cantSplit/>
        </w:trPr>
        <w:tc>
          <w:tcPr>
            <w:tcW w:type="dxa" w:w="22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Standardsetzer (A1, Verbände, Zahlstellen)</w:t>
            </w:r>
          </w:p>
        </w:tc>
        <w:tc>
          <w:tcPr>
            <w:tcW w:type="dxa" w:w="40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Welche Anforderungen an Fotonachweise könnten Sie Ihren Mitgliedern oder Antragstellern vorgeben, wenn es einen praktikablen Standard gäbe?</w:t>
            </w:r>
          </w:p>
        </w:tc>
        <w:tc>
          <w:tcPr>
            <w:tcW w:type="dxa" w:w="34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Bedingungswerke, Richtlinien, Prüfhandbücher</w:t>
            </w:r>
          </w:p>
        </w:tc>
      </w:tr>
    </w:tbl>
    <w:p>
      <w:pPr>
        <w:pStyle w:val="Heading1"/>
        <w:keepNext/>
        <w:spacing w:after="200" w:before="360"/>
      </w:pPr>
      <w:r>
        <w:t xml:space="preserve">16. Messen und Veranstaltungen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7038"/>
      </w:tblGrid>
      <w:tr>
        <w:trPr>
          <w:cantSplit/>
          <w:tblHeader/>
        </w:trPr>
        <w:tc>
          <w:tcPr>
            <w:tcW w:type="dxa" w:w="2600"/>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Feld</w:t>
            </w:r>
          </w:p>
        </w:tc>
        <w:tc>
          <w:tcPr>
            <w:tcW w:type="dxa" w:w="7038"/>
            <w:shd w:fill="1F3A5F" w:color="auto" w:val="clear"/>
            <w:tcMar>
              <w:top w:type="dxa" w:w="60"/>
              <w:left w:type="dxa" w:w="90"/>
              <w:bottom w:type="dxa" w:w="60"/>
              <w:right w:type="dxa" w:w="90"/>
            </w:tcMar>
            <w:vAlign w:val="top"/>
          </w:tcPr>
          <w:p>
            <w:pPr>
              <w:spacing w:after="0" w:line="252"/>
            </w:pPr>
            <w:r>
              <w:rPr>
                <w:rFonts w:ascii="Calibri" w:cs="Calibri" w:eastAsia="Calibri" w:hAnsi="Calibri"/>
                <w:b/>
                <w:bCs/>
                <w:color w:val="FFFFFF"/>
                <w:sz w:val="18"/>
                <w:szCs w:val="18"/>
              </w:rPr>
              <w:t xml:space="preserve">Veranstaltungen</w:t>
            </w:r>
          </w:p>
        </w:tc>
      </w:tr>
      <w:tr>
        <w:trPr>
          <w:cantSplit/>
        </w:trPr>
        <w:tc>
          <w:tcPr>
            <w:tcW w:type="dxa" w:w="26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Versicherung</w:t>
            </w:r>
          </w:p>
        </w:tc>
        <w:tc>
          <w:tcPr>
            <w:tcW w:type="dxa" w:w="70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DKM Dortmund (Okt.), InsurTech-Events (InsurLab Germany)</w:t>
            </w:r>
          </w:p>
        </w:tc>
      </w:tr>
      <w:tr>
        <w:trPr>
          <w:cantSplit/>
        </w:trPr>
        <w:tc>
          <w:tcPr>
            <w:tcW w:type="dxa" w:w="26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Bau und Immobilien</w:t>
            </w:r>
          </w:p>
        </w:tc>
        <w:tc>
          <w:tcPr>
            <w:tcW w:type="dxa" w:w="70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BAU München (Jan., alle zwei Jahre), digitalBAU, Expo Real München (Okt.), Deutscher Baugerichtstag Hamm, VDIV-Verwaltertag</w:t>
            </w:r>
          </w:p>
        </w:tc>
      </w:tr>
      <w:tr>
        <w:trPr>
          <w:cantSplit/>
        </w:trPr>
        <w:tc>
          <w:tcPr>
            <w:tcW w:type="dxa" w:w="26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Fahrzeug und Vermietung</w:t>
            </w:r>
          </w:p>
        </w:tc>
        <w:tc>
          <w:tcPr>
            <w:tcW w:type="dxa" w:w="70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bauma München (Apr., alle drei Jahre), IAA Mobility, Flotte! Düsseldorf, boot Düsseldorf (Jan.), Caravan Salon Düsseldorf (Aug./Sep.)</w:t>
            </w:r>
          </w:p>
        </w:tc>
      </w:tr>
      <w:tr>
        <w:trPr>
          <w:cantSplit/>
        </w:trPr>
        <w:tc>
          <w:tcPr>
            <w:tcW w:type="dxa" w:w="26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Logistik und Handel</w:t>
            </w:r>
          </w:p>
        </w:tc>
        <w:tc>
          <w:tcPr>
            <w:tcW w:type="dxa" w:w="70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LogiMAT Stuttgart (März), transport logistic München, K5 Future Retail Berlin, EuroShop Düsseldorf, EHI-Kongresse</w:t>
            </w:r>
          </w:p>
        </w:tc>
      </w:tr>
      <w:tr>
        <w:trPr>
          <w:cantSplit/>
        </w:trPr>
        <w:tc>
          <w:tcPr>
            <w:tcW w:type="dxa" w:w="26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Kommunen und Dienstleistung</w:t>
            </w:r>
          </w:p>
        </w:tc>
        <w:tc>
          <w:tcPr>
            <w:tcW w:type="dxa" w:w="70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KOMMUNALE Nürnberg, GaLaBau Nürnberg, Deutsche Baumpflegetage Augsburg, Security Essen, A+A Düsseldorf, Maintenance Dortmund</w:t>
            </w:r>
          </w:p>
        </w:tc>
      </w:tr>
      <w:tr>
        <w:trPr>
          <w:cantSplit/>
        </w:trPr>
        <w:tc>
          <w:tcPr>
            <w:tcW w:type="dxa" w:w="26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Energie und Landwirtschaft</w:t>
            </w:r>
          </w:p>
        </w:tc>
        <w:tc>
          <w:tcPr>
            <w:tcW w:type="dxa" w:w="70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Intersolar/The smarter E München (Juni), E-world Essen (Feb.), Agritechnica Hannover (Nov.), EuroTier Hannover, Jagd &amp; Hund Dortmund</w:t>
            </w:r>
          </w:p>
        </w:tc>
      </w:tr>
      <w:tr>
        <w:trPr>
          <w:cantSplit/>
        </w:trPr>
        <w:tc>
          <w:tcPr>
            <w:tcW w:type="dxa" w:w="2600"/>
            <w:tcMar>
              <w:top w:type="dxa" w:w="60"/>
              <w:left w:type="dxa" w:w="90"/>
              <w:bottom w:type="dxa" w:w="60"/>
              <w:right w:type="dxa" w:w="90"/>
            </w:tcMar>
            <w:vAlign w:val="top"/>
          </w:tcPr>
          <w:p>
            <w:pPr>
              <w:spacing w:after="0" w:line="252"/>
            </w:pPr>
            <w:r>
              <w:rPr>
                <w:rFonts w:ascii="Calibri" w:cs="Calibri" w:eastAsia="Calibri" w:hAnsi="Calibri"/>
                <w:sz w:val="18"/>
                <w:szCs w:val="18"/>
              </w:rPr>
              <w:t xml:space="preserve">Gesundheit und Justiz</w:t>
            </w:r>
          </w:p>
        </w:tc>
        <w:tc>
          <w:tcPr>
            <w:tcW w:type="dxa" w:w="7038"/>
            <w:tcMar>
              <w:top w:type="dxa" w:w="60"/>
              <w:left w:type="dxa" w:w="90"/>
              <w:bottom w:type="dxa" w:w="60"/>
              <w:right w:type="dxa" w:w="90"/>
            </w:tcMar>
            <w:vAlign w:val="top"/>
          </w:tcPr>
          <w:p>
            <w:pPr>
              <w:spacing w:after="0" w:line="252"/>
            </w:pPr>
            <w:r>
              <w:rPr>
                <w:rFonts w:ascii="Calibri" w:cs="Calibri" w:eastAsia="Calibri" w:hAnsi="Calibri"/>
                <w:sz w:val="18"/>
                <w:szCs w:val="18"/>
              </w:rPr>
              <w:t xml:space="preserve">DMEA Berlin (Apr.), MEDICA Düsseldorf (Nov.), ALTENPFLEGE Messe, Deutscher Anwaltstag, Deutscher EDV-Gerichtstag Saarbrücken</w:t>
            </w:r>
          </w:p>
        </w:tc>
      </w:tr>
      <w:tr>
        <w:trPr>
          <w:cantSplit/>
        </w:trPr>
        <w:tc>
          <w:tcPr>
            <w:tcW w:type="dxa" w:w="2600"/>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Medien und Wissenschaft</w:t>
            </w:r>
          </w:p>
        </w:tc>
        <w:tc>
          <w:tcPr>
            <w:tcW w:type="dxa" w:w="7038"/>
            <w:shd w:fill="F2F6FA" w:color="auto" w:val="clear"/>
            <w:tcMar>
              <w:top w:type="dxa" w:w="60"/>
              <w:left w:type="dxa" w:w="90"/>
              <w:bottom w:type="dxa" w:w="60"/>
              <w:right w:type="dxa" w:w="90"/>
            </w:tcMar>
            <w:vAlign w:val="top"/>
          </w:tcPr>
          <w:p>
            <w:pPr>
              <w:spacing w:after="0" w:line="252"/>
            </w:pPr>
            <w:r>
              <w:rPr>
                <w:rFonts w:ascii="Calibri" w:cs="Calibri" w:eastAsia="Calibri" w:hAnsi="Calibri"/>
                <w:sz w:val="18"/>
                <w:szCs w:val="18"/>
              </w:rPr>
              <w:t xml:space="preserve">re:publica Berlin, Frankfurter Buchmesse, Photopia Hamburg</w:t>
            </w:r>
          </w:p>
        </w:tc>
      </w:tr>
    </w:tbl>
    <w:p>
      <w:pPr>
        <w:pStyle w:val="Heading1"/>
        <w:keepNext/>
        <w:spacing w:after="200" w:before="360"/>
      </w:pPr>
      <w:r>
        <w:t xml:space="preserve">17. Hinweise zur Datenqualität</w:t>
      </w:r>
    </w:p>
    <w:p>
      <w:pPr>
        <w:pStyle w:val="ListParagraph"/>
        <w:numPr>
          <w:ilvl w:val="0"/>
          <w:numId w:val="2"/>
        </w:numPr>
        <w:spacing w:after="60" w:line="276"/>
      </w:pPr>
      <w:r>
        <w:rPr>
          <w:rFonts w:ascii="Calibri" w:cs="Calibri" w:eastAsia="Calibri" w:hAnsi="Calibri"/>
          <w:sz w:val="21"/>
          <w:szCs w:val="21"/>
        </w:rPr>
        <w:t xml:space="preserve">Organisationen, Sitze und Zielrollen wurden aus öffentlichem Wissen zusammengestellt (Stand September 2026). Firmierungen, Zuständigkeiten und Webadressen sollten vor der Ansprache kurz geprüft werden; Konzernumbauten (z. B. DB Schenker zu DSV, Gegenbauer zu Apleona, ALD/LeasePlan zu Ayvens) sind berücksichtigt, spätere Änderungen nicht.</w:t>
      </w:r>
    </w:p>
    <w:p>
      <w:pPr>
        <w:pStyle w:val="ListParagraph"/>
        <w:numPr>
          <w:ilvl w:val="0"/>
          <w:numId w:val="2"/>
        </w:numPr>
        <w:spacing w:after="60" w:line="276"/>
      </w:pPr>
      <w:r>
        <w:rPr>
          <w:rFonts w:ascii="Calibri" w:cs="Calibri" w:eastAsia="Calibri" w:hAnsi="Calibri"/>
          <w:sz w:val="21"/>
          <w:szCs w:val="21"/>
        </w:rPr>
        <w:t xml:space="preserve">Marktvolumina sind qualitativ bewertet. Für Business Cases in Welle 1 sollten je Segment Zahlen aus Verbandsstatistiken (GDV, bevh, BDL, bbi, GdW) ergänzt werden.</w:t>
      </w:r>
    </w:p>
    <w:p>
      <w:pPr>
        <w:pStyle w:val="ListParagraph"/>
        <w:numPr>
          <w:ilvl w:val="0"/>
          <w:numId w:val="2"/>
        </w:numPr>
        <w:spacing w:after="60" w:line="276"/>
      </w:pPr>
      <w:r>
        <w:rPr>
          <w:rFonts w:ascii="Calibri" w:cs="Calibri" w:eastAsia="Calibri" w:hAnsi="Calibri"/>
          <w:sz w:val="21"/>
          <w:szCs w:val="21"/>
        </w:rPr>
        <w:t xml:space="preserve">Wettbewerbsangaben beziehen sich auf Anbieter mit Beweisschicht. Angrenzende Doku-Software wird als Integrationspartner oder als Wettbewerber ohne Beweisschicht geführt.</w:t>
      </w:r>
    </w:p>
    <w:p>
      <w:pPr>
        <w:pStyle w:val="ListParagraph"/>
        <w:numPr>
          <w:ilvl w:val="0"/>
          <w:numId w:val="2"/>
        </w:numPr>
        <w:spacing w:after="60" w:line="276"/>
      </w:pPr>
      <w:r>
        <w:rPr>
          <w:rFonts w:ascii="Calibri" w:cs="Calibri" w:eastAsia="Calibri" w:hAnsi="Calibri"/>
          <w:sz w:val="21"/>
          <w:szCs w:val="21"/>
        </w:rPr>
        <w:t xml:space="preserve">Die rechtlichen Hinweise ersetzen keine Beratung. Ein Rechtsgutachten zum Beweiswert der Lösung wird als Vertriebsdokument empfohlen.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Seite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 Vertraulich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Marktübersicht manipulationssichere Dokumentation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40" w:before="30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Marktübersicht manipulationssichere Foto- und Zustandsdokumentation</dc:title>
  <dc:creator>DKH</dc:creator>
  <cp:lastModifiedBy>Un-named</cp:lastModifiedBy>
  <cp:revision>1</cp:revision>
  <dcterms:created xsi:type="dcterms:W3CDTF">2026-09-14T03:07:34.228Z</dcterms:created>
  <dcterms:modified xsi:type="dcterms:W3CDTF">2026-09-14T03:07:34.228Z</dcterms:modified>
</cp:coreProperties>
</file>

<file path=docProps/custom.xml><?xml version="1.0" encoding="utf-8"?>
<Properties xmlns="http://schemas.openxmlformats.org/officeDocument/2006/custom-properties" xmlns:vt="http://schemas.openxmlformats.org/officeDocument/2006/docPropsVTypes"/>
</file>