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950"/>
        <w:jc w:val="center"/>
      </w:pPr>
      <w:r>
        <w:rPr>
          <w:rFonts w:ascii="Arial" w:cs="Arial" w:eastAsia="Arial" w:hAnsi="Arial"/>
          <w:b/>
          <w:bCs/>
          <w:color w:val="17365D"/>
          <w:sz w:val="44"/>
          <w:szCs w:val="44"/>
        </w:rPr>
        <w:t xml:space="preserve">ACCOUNTS PAYABLE POLICY</w:t>
      </w:r>
    </w:p>
    <w:p>
      <w:pPr>
        <w:spacing w:after="420"/>
        <w:jc w:val="center"/>
      </w:pPr>
      <w:r>
        <w:rPr>
          <w:rFonts w:ascii="Arial" w:cs="Arial" w:eastAsia="Arial" w:hAnsi="Arial"/>
          <w:b/>
          <w:bCs/>
          <w:color w:val="2F75B5"/>
          <w:sz w:val="28"/>
          <w:szCs w:val="28"/>
        </w:rPr>
        <w:t xml:space="preserve">Procure-to-Pay Three-Way Invoice Matching</w:t>
      </w:r>
    </w:p>
    <w:p>
      <w:pPr>
        <w:pBdr>
          <w:top w:val="single" w:color="2F75B5" w:sz="10" w:space="1"/>
          <w:bottom w:val="single" w:color="2F75B5" w:sz="10" w:space="1"/>
        </w:pBdr>
        <w:spacing w:after="380"/>
        <w:jc w:val="center"/>
      </w:pPr>
      <w:r>
        <w:rPr>
          <w:rFonts w:ascii="Arial" w:cs="Arial" w:eastAsia="Arial" w:hAnsi="Arial"/>
          <w:b/>
          <w:bCs/>
          <w:color w:val="C00000"/>
          <w:sz w:val="20"/>
          <w:szCs w:val="20"/>
        </w:rPr>
        <w:t xml:space="preserve">SYNTHETIC DEMO DATA — FICTIONAL ORGANIZATION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Document field</w:t>
            </w:r>
          </w:p>
        </w:tc>
        <w:tc>
          <w:tcPr>
            <w:tcW w:type="dxa" w:w="63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Controlled value</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Policy owner</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Director, Accounts Payable</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Business owner</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Chief Procurement Officer</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Effective date</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 August 2026</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Review cycle</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Annual or upon material control change</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Version</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1.0 — Demo 17</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Applies to</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All PO-backed supplier invoices and credit notes</w:t>
            </w:r>
          </w:p>
        </w:tc>
      </w:tr>
      <w:tr>
        <w:tc>
          <w:tcPr>
            <w:tcW w:type="dxa" w:w="27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Classification</w:t>
            </w:r>
          </w:p>
        </w:tc>
        <w:tc>
          <w:tcPr>
            <w:tcW w:type="dxa" w:w="63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Synthetic training material; not production policy</w:t>
            </w:r>
          </w:p>
        </w:tc>
      </w:tr>
    </w:tbl>
    <w:p>
      <w:pPr>
        <w:spacing w:after="100" w:before="300"/>
      </w:pPr>
      <w:r>
        <w:rPr>
          <w:rFonts w:ascii="Arial" w:cs="Arial" w:eastAsia="Arial" w:hAnsi="Arial"/>
          <w:b/>
          <w:bCs/>
          <w:color w:val="17365D"/>
          <w:sz w:val="25"/>
          <w:szCs w:val="25"/>
        </w:rPr>
        <w:t xml:space="preserve">Purpose</w:t>
      </w:r>
    </w:p>
    <w:p>
      <w:pPr>
        <w:spacing w:after="110" w:line="265"/>
      </w:pPr>
      <w:r>
        <w:rPr>
          <w:rFonts w:ascii="Arial" w:cs="Arial" w:eastAsia="Arial" w:hAnsi="Arial"/>
          <w:sz w:val="19"/>
          <w:szCs w:val="19"/>
        </w:rPr>
        <w:t xml:space="preserve">This policy defines the evidence, tolerances, controls, exception codes and accountability required before a purchase-order-backed invoice may be posted or paid. It is designed to produce a repeatable line-level conclusion from the approved purchase order, accepted goods receipt and supplier invoice.</w:t>
      </w:r>
    </w:p>
    <w:p>
      <w:pPr>
        <w:spacing w:after="110" w:line="265"/>
      </w:pPr>
      <w:r>
        <w:rPr>
          <w:rFonts w:ascii="Arial" w:cs="Arial" w:eastAsia="Arial" w:hAnsi="Arial"/>
          <w:sz w:val="19"/>
          <w:szCs w:val="19"/>
        </w:rPr>
        <w:t xml:space="preserve">All names, organizations, addresses, tax registrations, transactions and values in this document and the accompanying Demo 17 package are fictional. The materials are intended solely for demonstration and training.</w:t>
      </w:r>
    </w:p>
    <w:p>
      <w:r>
        <w:br w:type="page"/>
      </w:r>
    </w:p>
    <w:p>
      <w:pPr>
        <w:pStyle w:val="Heading1"/>
      </w:pPr>
      <w:r>
        <w:rPr>
          <w:rFonts w:ascii="Arial" w:cs="Arial" w:eastAsia="Arial" w:hAnsi="Arial"/>
          <w:b/>
          <w:bCs/>
          <w:color w:val="17365D"/>
          <w:sz w:val="31"/>
          <w:szCs w:val="31"/>
        </w:rPr>
        <w:t xml:space="preserve">1. Authority, scope and key hierarchy</w:t>
      </w:r>
    </w:p>
    <w:p>
      <w:pPr>
        <w:pStyle w:val="Heading2"/>
      </w:pPr>
      <w:r>
        <w:rPr>
          <w:rFonts w:ascii="Arial" w:cs="Arial" w:eastAsia="Arial" w:hAnsi="Arial"/>
          <w:b/>
          <w:bCs/>
          <w:color w:val="2F75B5"/>
          <w:sz w:val="24"/>
          <w:szCs w:val="24"/>
        </w:rPr>
        <w:t xml:space="preserve">1.1 Scope</w:t>
      </w:r>
    </w:p>
    <w:p>
      <w:pPr>
        <w:spacing w:after="110" w:line="265"/>
      </w:pPr>
      <w:r>
        <w:rPr>
          <w:rFonts w:ascii="Arial" w:cs="Arial" w:eastAsia="Arial" w:hAnsi="Arial"/>
          <w:sz w:val="19"/>
          <w:szCs w:val="19"/>
        </w:rPr>
        <w:t xml:space="preserve">The policy applies to invoices that cite a purchase order and seek payment for goods or receipted services. It covers invoice capture, vendor validation, duplicate screening, three-way matching, exception handling, posting, payment release and retention of evidence. Non-PO invoices, employee expenses and payroll are outside scope and follow separate policies.</w:t>
      </w:r>
    </w:p>
    <w:p>
      <w:pPr>
        <w:pStyle w:val="Heading2"/>
      </w:pPr>
      <w:r>
        <w:rPr>
          <w:rFonts w:ascii="Arial" w:cs="Arial" w:eastAsia="Arial" w:hAnsi="Arial"/>
          <w:b/>
          <w:bCs/>
          <w:color w:val="2F75B5"/>
          <w:sz w:val="24"/>
          <w:szCs w:val="24"/>
        </w:rPr>
        <w:t xml:space="preserve">1.2 Authoritative key hierarchy</w:t>
      </w:r>
    </w:p>
    <w:p>
      <w:pPr>
        <w:spacing w:after="110" w:line="265"/>
      </w:pPr>
      <w:r>
        <w:rPr>
          <w:rFonts w:ascii="Arial" w:cs="Arial" w:eastAsia="Arial" w:hAnsi="Arial"/>
          <w:sz w:val="19"/>
          <w:szCs w:val="19"/>
        </w:rPr>
        <w:t xml:space="preserve">Matching must use the following keys in descending order of authority. A lower-level key may clarify a record but may not override a conflicting higher-level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Priority</w:t>
            </w:r>
          </w:p>
        </w:tc>
        <w:tc>
          <w:tcPr>
            <w:tcW w:type="dxa" w:w="28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Authoritative key</w:t>
            </w:r>
          </w:p>
        </w:tc>
        <w:tc>
          <w:tcPr>
            <w:tcW w:type="dxa" w:w="52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Required use</w:t>
            </w:r>
          </w:p>
        </w:tc>
      </w:tr>
      <w:tr>
        <w:tc>
          <w:tcPr>
            <w:tcW w:type="dxa" w:w="1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w:t>
            </w:r>
          </w:p>
        </w:tc>
        <w:tc>
          <w:tcPr>
            <w:tcW w:type="dxa" w:w="2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ID</w:t>
            </w:r>
          </w:p>
        </w:tc>
        <w:tc>
          <w:tcPr>
            <w:tcW w:type="dxa" w:w="52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Resolve the supplier against the active vendor master. Legal name text alone is not sufficient.</w:t>
            </w:r>
          </w:p>
        </w:tc>
      </w:tr>
      <w:tr>
        <w:tc>
          <w:tcPr>
            <w:tcW w:type="dxa" w:w="1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w:t>
            </w:r>
          </w:p>
        </w:tc>
        <w:tc>
          <w:tcPr>
            <w:tcW w:type="dxa" w:w="2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 number + PO line</w:t>
            </w:r>
          </w:p>
        </w:tc>
        <w:tc>
          <w:tcPr>
            <w:tcW w:type="dxa" w:w="52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Identify the approved commercial commitment and line-level terms.</w:t>
            </w:r>
          </w:p>
        </w:tc>
      </w:tr>
      <w:tr>
        <w:tc>
          <w:tcPr>
            <w:tcW w:type="dxa" w:w="1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3</w:t>
            </w:r>
          </w:p>
        </w:tc>
        <w:tc>
          <w:tcPr>
            <w:tcW w:type="dxa" w:w="2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SKU / item code</w:t>
            </w:r>
          </w:p>
        </w:tc>
        <w:tc>
          <w:tcPr>
            <w:tcW w:type="dxa" w:w="52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Confirm the invoiced item corresponds to the ordered and received item.</w:t>
            </w:r>
          </w:p>
        </w:tc>
      </w:tr>
      <w:tr>
        <w:tc>
          <w:tcPr>
            <w:tcW w:type="dxa" w:w="1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4</w:t>
            </w:r>
          </w:p>
        </w:tc>
        <w:tc>
          <w:tcPr>
            <w:tcW w:type="dxa" w:w="2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Delivery-note reference + receipt ID</w:t>
            </w:r>
          </w:p>
        </w:tc>
        <w:tc>
          <w:tcPr>
            <w:tcW w:type="dxa" w:w="52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Trace delivered quantity to accepted receiving evidence.</w:t>
            </w:r>
          </w:p>
        </w:tc>
      </w:tr>
      <w:tr>
        <w:tc>
          <w:tcPr>
            <w:tcW w:type="dxa" w:w="1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5</w:t>
            </w:r>
          </w:p>
        </w:tc>
        <w:tc>
          <w:tcPr>
            <w:tcW w:type="dxa" w:w="2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Normalized invoice number</w:t>
            </w:r>
          </w:p>
        </w:tc>
        <w:tc>
          <w:tcPr>
            <w:tcW w:type="dxa" w:w="52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Screen for duplicates within the same vendor and legal entity.</w:t>
            </w:r>
          </w:p>
        </w:tc>
      </w:tr>
    </w:tbl>
    <w:p>
      <w:pPr>
        <w:pStyle w:val="Heading2"/>
      </w:pPr>
      <w:r>
        <w:rPr>
          <w:rFonts w:ascii="Arial" w:cs="Arial" w:eastAsia="Arial" w:hAnsi="Arial"/>
          <w:b/>
          <w:bCs/>
          <w:color w:val="2F75B5"/>
          <w:sz w:val="24"/>
          <w:szCs w:val="24"/>
        </w:rPr>
        <w:t xml:space="preserve">1.3 Source precedence</w:t>
      </w:r>
    </w:p>
    <w:p>
      <w:pPr>
        <w:pStyle w:val="ListParagraph"/>
        <w:numPr>
          <w:ilvl w:val="0"/>
          <w:numId w:val="2"/>
        </w:numPr>
        <w:spacing w:after="70" w:line="250"/>
      </w:pPr>
      <w:r>
        <w:rPr>
          <w:rFonts w:ascii="Arial" w:cs="Arial" w:eastAsia="Arial" w:hAnsi="Arial"/>
          <w:sz w:val="19"/>
          <w:szCs w:val="19"/>
        </w:rPr>
        <w:t xml:space="preserve">Vendor status, default currency, tax registration and approved category come from the vendor master.</w:t>
      </w:r>
    </w:p>
    <w:p>
      <w:pPr>
        <w:pStyle w:val="ListParagraph"/>
        <w:numPr>
          <w:ilvl w:val="0"/>
          <w:numId w:val="2"/>
        </w:numPr>
        <w:spacing w:after="70" w:line="250"/>
      </w:pPr>
      <w:r>
        <w:rPr>
          <w:rFonts w:ascii="Arial" w:cs="Arial" w:eastAsia="Arial" w:hAnsi="Arial"/>
          <w:sz w:val="19"/>
          <w:szCs w:val="19"/>
        </w:rPr>
        <w:t xml:space="preserve">Price, ordered quantity, tax code, freight authorization, cost center and approval status come from the latest approved PO revision effective before invoice date.</w:t>
      </w:r>
    </w:p>
    <w:p>
      <w:pPr>
        <w:pStyle w:val="ListParagraph"/>
        <w:numPr>
          <w:ilvl w:val="0"/>
          <w:numId w:val="2"/>
        </w:numPr>
        <w:spacing w:after="70" w:line="250"/>
      </w:pPr>
      <w:r>
        <w:rPr>
          <w:rFonts w:ascii="Arial" w:cs="Arial" w:eastAsia="Arial" w:hAnsi="Arial"/>
          <w:sz w:val="19"/>
          <w:szCs w:val="19"/>
        </w:rPr>
        <w:t xml:space="preserve">Quantity eligible for payment comes only from accepted goods receipts or approved service-entry records. Rejected quantity is excluded.</w:t>
      </w:r>
    </w:p>
    <w:p>
      <w:pPr>
        <w:pStyle w:val="ListParagraph"/>
        <w:numPr>
          <w:ilvl w:val="0"/>
          <w:numId w:val="2"/>
        </w:numPr>
        <w:spacing w:after="70" w:line="250"/>
      </w:pPr>
      <w:r>
        <w:rPr>
          <w:rFonts w:ascii="Arial" w:cs="Arial" w:eastAsia="Arial" w:hAnsi="Arial"/>
          <w:sz w:val="19"/>
          <w:szCs w:val="19"/>
        </w:rPr>
        <w:t xml:space="preserve">The invoice is authoritative only for the supplier’s payment request; it cannot create or amend authorization.</w:t>
      </w:r>
    </w:p>
    <w:p>
      <w:pPr>
        <w:spacing w:after="110" w:line="265"/>
      </w:pPr>
      <w:r>
        <w:rPr>
          <w:rFonts w:ascii="Arial" w:cs="Arial" w:eastAsia="Arial" w:hAnsi="Arial"/>
          <w:sz w:val="19"/>
          <w:szCs w:val="19"/>
        </w:rPr>
        <w:t xml:space="preserve">If two authoritative sources conflict, the invoice must be held under the most specific applicable exception code. AP personnel must not infer approval from prior transactions or verbal statements.</w:t>
      </w:r>
    </w:p>
    <w:p>
      <w:r>
        <w:br w:type="page"/>
      </w:r>
    </w:p>
    <w:p>
      <w:pPr>
        <w:pStyle w:val="Heading1"/>
      </w:pPr>
      <w:r>
        <w:rPr>
          <w:rFonts w:ascii="Arial" w:cs="Arial" w:eastAsia="Arial" w:hAnsi="Arial"/>
          <w:b/>
          <w:bCs/>
          <w:color w:val="17365D"/>
          <w:sz w:val="31"/>
          <w:szCs w:val="31"/>
        </w:rPr>
        <w:t xml:space="preserve">2. Line-level three-way match rules</w:t>
      </w:r>
    </w:p>
    <w:p>
      <w:pPr>
        <w:pStyle w:val="Heading2"/>
      </w:pPr>
      <w:r>
        <w:rPr>
          <w:rFonts w:ascii="Arial" w:cs="Arial" w:eastAsia="Arial" w:hAnsi="Arial"/>
          <w:b/>
          <w:bCs/>
          <w:color w:val="2F75B5"/>
          <w:sz w:val="24"/>
          <w:szCs w:val="24"/>
        </w:rPr>
        <w:t xml:space="preserve">2.1 Mandatory match sequence</w:t>
      </w:r>
    </w:p>
    <w:p>
      <w:pPr>
        <w:spacing w:after="110" w:line="265"/>
      </w:pPr>
      <w:r>
        <w:rPr>
          <w:rFonts w:ascii="Arial" w:cs="Arial" w:eastAsia="Arial" w:hAnsi="Arial"/>
          <w:sz w:val="19"/>
          <w:szCs w:val="19"/>
        </w:rPr>
        <w:t xml:space="preserve">Each invoice line must be evaluated independently before an invoice-level disposition is assigned. The processor or automated control must perform the following sequence without skipping a failed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6126"/>
      </w:tblGrid>
      <w:tr>
        <w:trPr>
          <w:tblHeader/>
        </w:trPr>
        <w:tc>
          <w:tcPr>
            <w:tcW w:type="dxa" w:w="8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Step</w:t>
            </w:r>
          </w:p>
        </w:tc>
        <w:tc>
          <w:tcPr>
            <w:tcW w:type="dxa" w:w="21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Test</w:t>
            </w:r>
          </w:p>
        </w:tc>
        <w:tc>
          <w:tcPr>
            <w:tcW w:type="dxa" w:w="61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Passing condition</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exists, status is Active, bank verification is current and invoiced category is approved.</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Purchase order</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 and line exist, belong to the vendor, are approved and were open on invoice date.</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3</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Identity</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SKU or documented cross-reference agrees across PO, receipt and invoice.</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4</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Quantity</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Cumulative invoiced quantity does not exceed cumulative accepted quantity after prior posted invoices.</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5</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Price</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unit price equals PO price or satisfies both price-tolerance tests in section 3.</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6</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 code, rate, basis and rounding agree with the authoritative PO/vendor rule.</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7</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Freight</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Freight is explicitly allowed and does not exceed the applicable cap.</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8</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Currency and terms</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currency matches PO currency; payment terms are not accelerated without approval.</w:t>
            </w:r>
          </w:p>
        </w:tc>
      </w:tr>
      <w:tr>
        <w:tc>
          <w:tcPr>
            <w:tcW w:type="dxa" w:w="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9</w:t>
            </w:r>
          </w:p>
        </w:tc>
        <w:tc>
          <w:tcPr>
            <w:tcW w:type="dxa" w:w="21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Duplicate</w:t>
            </w:r>
          </w:p>
        </w:tc>
        <w:tc>
          <w:tcPr>
            <w:tcW w:type="dxa" w:w="6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No earlier invoice with the same normalized identity or equivalent commercial fingerprint exists.</w:t>
            </w:r>
          </w:p>
        </w:tc>
      </w:tr>
    </w:tbl>
    <w:p>
      <w:pPr>
        <w:pStyle w:val="Heading2"/>
      </w:pPr>
      <w:r>
        <w:rPr>
          <w:rFonts w:ascii="Arial" w:cs="Arial" w:eastAsia="Arial" w:hAnsi="Arial"/>
          <w:b/>
          <w:bCs/>
          <w:color w:val="2F75B5"/>
          <w:sz w:val="24"/>
          <w:szCs w:val="24"/>
        </w:rPr>
        <w:t xml:space="preserve">2.2 Invoice-level disposition</w:t>
      </w:r>
    </w:p>
    <w:p>
      <w:pPr>
        <w:pStyle w:val="ListParagraph"/>
        <w:numPr>
          <w:ilvl w:val="0"/>
          <w:numId w:val="2"/>
        </w:numPr>
        <w:spacing w:after="70" w:line="250"/>
      </w:pPr>
      <w:r>
        <w:rPr>
          <w:rFonts w:ascii="Arial" w:cs="Arial" w:eastAsia="Arial" w:hAnsi="Arial"/>
          <w:sz w:val="19"/>
          <w:szCs w:val="19"/>
        </w:rPr>
        <w:t xml:space="preserve">Pass: every line is compliant or within an explicitly permitted tolerance.</w:t>
      </w:r>
    </w:p>
    <w:p>
      <w:pPr>
        <w:pStyle w:val="ListParagraph"/>
        <w:numPr>
          <w:ilvl w:val="0"/>
          <w:numId w:val="2"/>
        </w:numPr>
        <w:spacing w:after="70" w:line="250"/>
      </w:pPr>
      <w:r>
        <w:rPr>
          <w:rFonts w:ascii="Arial" w:cs="Arial" w:eastAsia="Arial" w:hAnsi="Arial"/>
          <w:sz w:val="19"/>
          <w:szCs w:val="19"/>
        </w:rPr>
        <w:t xml:space="preserve">Mixed hold: at least one line fails. Compliant lines may be posted separately only when the ERP supports safe line splitting and tax/freight allocation remains exact.</w:t>
      </w:r>
    </w:p>
    <w:p>
      <w:pPr>
        <w:pStyle w:val="ListParagraph"/>
        <w:numPr>
          <w:ilvl w:val="0"/>
          <w:numId w:val="2"/>
        </w:numPr>
        <w:spacing w:after="70" w:line="250"/>
      </w:pPr>
      <w:r>
        <w:rPr>
          <w:rFonts w:ascii="Arial" w:cs="Arial" w:eastAsia="Arial" w:hAnsi="Arial"/>
          <w:sz w:val="19"/>
          <w:szCs w:val="19"/>
        </w:rPr>
        <w:t xml:space="preserve">Block: duplicate, blocked vendor or control-integrity issue. No portion may proceed until the block is cleared.</w:t>
      </w:r>
    </w:p>
    <w:p>
      <w:pPr>
        <w:spacing w:after="110" w:line="265"/>
      </w:pPr>
      <w:r>
        <w:rPr>
          <w:rFonts w:ascii="Arial" w:cs="Arial" w:eastAsia="Arial" w:hAnsi="Arial"/>
          <w:sz w:val="19"/>
          <w:szCs w:val="19"/>
        </w:rPr>
        <w:t xml:space="preserve">A single exception never authorizes unrelated changes. For example, resolving a receipt exception does not waive a tax mismatch. Each planted condition must retain its own evidence and code.</w:t>
      </w:r>
    </w:p>
    <w:p>
      <w:r>
        <w:br w:type="page"/>
      </w:r>
    </w:p>
    <w:p>
      <w:pPr>
        <w:pStyle w:val="Heading1"/>
      </w:pPr>
      <w:r>
        <w:rPr>
          <w:rFonts w:ascii="Arial" w:cs="Arial" w:eastAsia="Arial" w:hAnsi="Arial"/>
          <w:b/>
          <w:bCs/>
          <w:color w:val="17365D"/>
          <w:sz w:val="31"/>
          <w:szCs w:val="31"/>
        </w:rPr>
        <w:t xml:space="preserve">3. Exact tolerance definitions</w:t>
      </w:r>
    </w:p>
    <w:p>
      <w:pPr>
        <w:pStyle w:val="Heading2"/>
      </w:pPr>
      <w:r>
        <w:rPr>
          <w:rFonts w:ascii="Arial" w:cs="Arial" w:eastAsia="Arial" w:hAnsi="Arial"/>
          <w:b/>
          <w:bCs/>
          <w:color w:val="2F75B5"/>
          <w:sz w:val="24"/>
          <w:szCs w:val="24"/>
        </w:rPr>
        <w:t xml:space="preserve">3.1 Price tolerance</w:t>
      </w:r>
    </w:p>
    <w:p>
      <w:pPr>
        <w:spacing w:after="110" w:line="265"/>
      </w:pPr>
      <w:r>
        <w:rPr>
          <w:rFonts w:ascii="Arial" w:cs="Arial" w:eastAsia="Arial" w:hAnsi="Arial"/>
          <w:sz w:val="19"/>
          <w:szCs w:val="19"/>
        </w:rPr>
        <w:t xml:space="preserve">Price tolerance is evaluated per invoice line in the invoice currency. Let P be the approved PO unit price, I the invoice unit price and Q the invoiced quantity. The absolute line variance is |I − P| × Q. The percentage variance is |I − P| ÷ P.</w:t>
      </w:r>
    </w:p>
    <w:p>
      <w:pPr>
        <w:pBdr>
          <w:top w:val="single" w:color="B7C7D3" w:sz="1"/>
          <w:bottom w:val="single" w:color="B7C7D3" w:sz="1"/>
        </w:pBdr>
        <w:shd w:fill="D9EAF7" w:val="clear"/>
        <w:spacing w:after="180" w:before="120"/>
        <w:jc w:val="center"/>
      </w:pPr>
      <w:r>
        <w:rPr>
          <w:rFonts w:ascii="Arial" w:cs="Arial" w:eastAsia="Arial" w:hAnsi="Arial"/>
          <w:b/>
          <w:bCs/>
          <w:color w:val="17365D"/>
          <w:sz w:val="22"/>
          <w:szCs w:val="22"/>
        </w:rPr>
        <w:t xml:space="preserve">A line is within tolerance only when percentage variance ≤ 2.00% AND absolute line variance ≤ 100.00 currency units.</w:t>
      </w:r>
    </w:p>
    <w:p>
      <w:pPr>
        <w:spacing w:after="110" w:line="265"/>
      </w:pPr>
      <w:r>
        <w:rPr>
          <w:rFonts w:ascii="Arial" w:cs="Arial" w:eastAsia="Arial" w:hAnsi="Arial"/>
          <w:sz w:val="19"/>
          <w:szCs w:val="19"/>
        </w:rPr>
        <w:t xml:space="preserve">Both tests are mandatory. Passing only one test is outside tolerance. The 100-unit ceiling is denominated in the invoice currency; there is no currency conversion solely for tolerance. A zero or missing PO price cannot use percentage tolerance and must be held.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Example</w:t>
            </w:r>
          </w:p>
        </w:tc>
        <w:tc>
          <w:tcPr>
            <w:tcW w:type="dxa" w:w="30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Calculation</w:t>
            </w:r>
          </w:p>
        </w:tc>
        <w:tc>
          <w:tcPr>
            <w:tcW w:type="dxa" w:w="30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Result</w:t>
            </w:r>
          </w:p>
        </w:tc>
      </w:tr>
      <w:tr>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EUR 160 PO; EUR 162 invoice; quantity 25</w:t>
            </w:r>
          </w:p>
        </w:tc>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1.25% and EUR 50 variance</w:t>
            </w:r>
          </w:p>
        </w:tc>
        <w:tc>
          <w:tcPr>
            <w:tcW w:type="dxa" w:w="30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Within tolerance: both tests pass</w:t>
            </w:r>
          </w:p>
        </w:tc>
      </w:tr>
      <w:tr>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EUR 900 PO; EUR 930 invoice; quantity 8</w:t>
            </w:r>
          </w:p>
        </w:tc>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3.33% and EUR 240 variance</w:t>
            </w:r>
          </w:p>
        </w:tc>
        <w:tc>
          <w:tcPr>
            <w:tcW w:type="dxa" w:w="30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EXC-PV02: both tests fail</w:t>
            </w:r>
          </w:p>
        </w:tc>
      </w:tr>
      <w:tr>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USD 10 PO; USD 10.10 invoice; quantity 2,000</w:t>
            </w:r>
          </w:p>
        </w:tc>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1.00% and USD 200 variance</w:t>
            </w:r>
          </w:p>
        </w:tc>
        <w:tc>
          <w:tcPr>
            <w:tcW w:type="dxa" w:w="30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EXC-PV02: absolute test fails</w:t>
            </w:r>
          </w:p>
        </w:tc>
      </w:tr>
      <w:tr>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GBP 5,000 PO; GBP 5,120 invoice; quantity 1</w:t>
            </w:r>
          </w:p>
        </w:tc>
        <w:tc>
          <w:tcPr>
            <w:tcW w:type="dxa" w:w="3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2.40% and GBP 120 variance</w:t>
            </w:r>
          </w:p>
        </w:tc>
        <w:tc>
          <w:tcPr>
            <w:tcW w:type="dxa" w:w="30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EXC-PV02: both tests fail</w:t>
            </w:r>
          </w:p>
        </w:tc>
      </w:tr>
    </w:tbl>
    <w:p>
      <w:pPr>
        <w:pStyle w:val="Heading2"/>
      </w:pPr>
      <w:r>
        <w:rPr>
          <w:rFonts w:ascii="Arial" w:cs="Arial" w:eastAsia="Arial" w:hAnsi="Arial"/>
          <w:b/>
          <w:bCs/>
          <w:color w:val="2F75B5"/>
          <w:sz w:val="24"/>
          <w:szCs w:val="24"/>
        </w:rPr>
        <w:t xml:space="preserve">3.2 Prohibited netting</w:t>
      </w:r>
    </w:p>
    <w:p>
      <w:pPr>
        <w:pStyle w:val="ListParagraph"/>
        <w:numPr>
          <w:ilvl w:val="0"/>
          <w:numId w:val="2"/>
        </w:numPr>
        <w:spacing w:after="70" w:line="250"/>
      </w:pPr>
      <w:r>
        <w:rPr>
          <w:rFonts w:ascii="Arial" w:cs="Arial" w:eastAsia="Arial" w:hAnsi="Arial"/>
          <w:sz w:val="19"/>
          <w:szCs w:val="19"/>
        </w:rPr>
        <w:t xml:space="preserve">Do not net favorable and unfavorable price variances across lines, invoices, POs or vendors.</w:t>
      </w:r>
    </w:p>
    <w:p>
      <w:pPr>
        <w:pStyle w:val="ListParagraph"/>
        <w:numPr>
          <w:ilvl w:val="0"/>
          <w:numId w:val="2"/>
        </w:numPr>
        <w:spacing w:after="70" w:line="250"/>
      </w:pPr>
      <w:r>
        <w:rPr>
          <w:rFonts w:ascii="Arial" w:cs="Arial" w:eastAsia="Arial" w:hAnsi="Arial"/>
          <w:sz w:val="19"/>
          <w:szCs w:val="19"/>
        </w:rPr>
        <w:t xml:space="preserve">Do not use unused freight capacity to absorb a price variance.</w:t>
      </w:r>
    </w:p>
    <w:p>
      <w:pPr>
        <w:pStyle w:val="ListParagraph"/>
        <w:numPr>
          <w:ilvl w:val="0"/>
          <w:numId w:val="2"/>
        </w:numPr>
        <w:spacing w:after="70" w:line="250"/>
      </w:pPr>
      <w:r>
        <w:rPr>
          <w:rFonts w:ascii="Arial" w:cs="Arial" w:eastAsia="Arial" w:hAnsi="Arial"/>
          <w:sz w:val="19"/>
          <w:szCs w:val="19"/>
        </w:rPr>
        <w:t xml:space="preserve">Tax differences are never treated as price variance and have zero tolerance except documented statutory rounding of 0.02 currency units per invoice.</w:t>
      </w:r>
    </w:p>
    <w:p>
      <w:pPr>
        <w:spacing w:after="110" w:line="265"/>
      </w:pPr>
      <w:r>
        <w:rPr>
          <w:rFonts w:ascii="Arial" w:cs="Arial" w:eastAsia="Arial" w:hAnsi="Arial"/>
          <w:sz w:val="19"/>
          <w:szCs w:val="19"/>
        </w:rPr>
        <w:t xml:space="preserve">Within-tolerance lines receive informational code INF-PV01 and retain the calculations as evidence. Outside-tolerance lines receive EXC-PV02 and remain unpaid until corrected or supported by an approved PO change.</w:t>
      </w:r>
    </w:p>
    <w:p>
      <w:r>
        <w:br w:type="page"/>
      </w:r>
    </w:p>
    <w:p>
      <w:pPr>
        <w:pStyle w:val="Heading1"/>
      </w:pPr>
      <w:r>
        <w:rPr>
          <w:rFonts w:ascii="Arial" w:cs="Arial" w:eastAsia="Arial" w:hAnsi="Arial"/>
          <w:b/>
          <w:bCs/>
          <w:color w:val="17365D"/>
          <w:sz w:val="31"/>
          <w:szCs w:val="31"/>
        </w:rPr>
        <w:t xml:space="preserve">4. Quantity, receipt and partial-delivery rules</w:t>
      </w:r>
    </w:p>
    <w:p>
      <w:pPr>
        <w:pStyle w:val="Heading2"/>
      </w:pPr>
      <w:r>
        <w:rPr>
          <w:rFonts w:ascii="Arial" w:cs="Arial" w:eastAsia="Arial" w:hAnsi="Arial"/>
          <w:b/>
          <w:bCs/>
          <w:color w:val="2F75B5"/>
          <w:sz w:val="24"/>
          <w:szCs w:val="24"/>
        </w:rPr>
        <w:t xml:space="preserve">4.1 Quantity eligible for payment</w:t>
      </w:r>
    </w:p>
    <w:p>
      <w:pPr>
        <w:spacing w:after="110" w:line="265"/>
      </w:pPr>
      <w:r>
        <w:rPr>
          <w:rFonts w:ascii="Arial" w:cs="Arial" w:eastAsia="Arial" w:hAnsi="Arial"/>
          <w:sz w:val="19"/>
          <w:szCs w:val="19"/>
        </w:rPr>
        <w:t xml:space="preserve">Eligible quantity equals cumulative accepted receipts less cumulative quantities already posted against the PO line. Delivered quantity is not sufficient. Quarantined, damaged, rejected, returned or inspection-pending units remain ineligible until a new accepted receipt is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1826"/>
      </w:tblGrid>
      <w:tr>
        <w:trPr>
          <w:tblHeader/>
        </w:trPr>
        <w:tc>
          <w:tcPr>
            <w:tcW w:type="dxa" w:w="29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Condition</w:t>
            </w:r>
          </w:p>
        </w:tc>
        <w:tc>
          <w:tcPr>
            <w:tcW w:type="dxa" w:w="43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Required treatment</w:t>
            </w:r>
          </w:p>
        </w:tc>
        <w:tc>
          <w:tcPr>
            <w:tcW w:type="dxa" w:w="18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Code</w:t>
            </w:r>
          </w:p>
        </w:tc>
      </w:tr>
      <w:tr>
        <w:tc>
          <w:tcPr>
            <w:tcW w:type="dxa" w:w="2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quantity equals eligible accepted quantity</w:t>
            </w:r>
          </w:p>
        </w:tc>
        <w:tc>
          <w:tcPr>
            <w:tcW w:type="dxa" w:w="4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Pass quantity test.</w:t>
            </w:r>
          </w:p>
        </w:tc>
        <w:tc>
          <w:tcPr>
            <w:tcW w:type="dxa" w:w="1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OK-000</w:t>
            </w:r>
          </w:p>
        </w:tc>
      </w:tr>
      <w:tr>
        <w:tc>
          <w:tcPr>
            <w:tcW w:type="dxa" w:w="2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quantity is below eligible accepted quantity</w:t>
            </w:r>
          </w:p>
        </w:tc>
        <w:tc>
          <w:tcPr>
            <w:tcW w:type="dxa" w:w="4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Pass billed quantity; keep remaining receipt quantity available.</w:t>
            </w:r>
          </w:p>
        </w:tc>
        <w:tc>
          <w:tcPr>
            <w:tcW w:type="dxa" w:w="1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OK-000</w:t>
            </w:r>
          </w:p>
        </w:tc>
      </w:tr>
      <w:tr>
        <w:tc>
          <w:tcPr>
            <w:tcW w:type="dxa" w:w="2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exceeds accepted quantity and excess includes rejected or unsupported units</w:t>
            </w:r>
          </w:p>
        </w:tc>
        <w:tc>
          <w:tcPr>
            <w:tcW w:type="dxa" w:w="4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Hold excess; do not edit receiving records without receiver evidence.</w:t>
            </w:r>
          </w:p>
        </w:tc>
        <w:tc>
          <w:tcPr>
            <w:tcW w:type="dxa" w:w="1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EXC-QTY01</w:t>
            </w:r>
          </w:p>
        </w:tc>
      </w:tr>
      <w:tr>
        <w:tc>
          <w:tcPr>
            <w:tcW w:type="dxa" w:w="2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exceeds accepted quantity but open delivery is documented and pending</w:t>
            </w:r>
          </w:p>
        </w:tc>
        <w:tc>
          <w:tcPr>
            <w:tcW w:type="dxa" w:w="4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Hold open portion until acceptance or credit.</w:t>
            </w:r>
          </w:p>
        </w:tc>
        <w:tc>
          <w:tcPr>
            <w:tcW w:type="dxa" w:w="1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EXC-REC01</w:t>
            </w:r>
          </w:p>
        </w:tc>
      </w:tr>
      <w:tr>
        <w:tc>
          <w:tcPr>
            <w:tcW w:type="dxa" w:w="2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Receipt exceeds PO quantity</w:t>
            </w:r>
          </w:p>
        </w:tc>
        <w:tc>
          <w:tcPr>
            <w:tcW w:type="dxa" w:w="4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Receiving/procurement must correct PO or receipt before AP proceeds.</w:t>
            </w:r>
          </w:p>
        </w:tc>
        <w:tc>
          <w:tcPr>
            <w:tcW w:type="dxa" w:w="1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EXC-QTY01</w:t>
            </w:r>
          </w:p>
        </w:tc>
      </w:tr>
    </w:tbl>
    <w:p>
      <w:pPr>
        <w:pStyle w:val="Heading2"/>
      </w:pPr>
      <w:r>
        <w:rPr>
          <w:rFonts w:ascii="Arial" w:cs="Arial" w:eastAsia="Arial" w:hAnsi="Arial"/>
          <w:b/>
          <w:bCs/>
          <w:color w:val="2F75B5"/>
          <w:sz w:val="24"/>
          <w:szCs w:val="24"/>
        </w:rPr>
        <w:t xml:space="preserve">4.2 Partial and multiple receipts</w:t>
      </w:r>
    </w:p>
    <w:p>
      <w:pPr>
        <w:spacing w:after="110" w:line="265"/>
      </w:pPr>
      <w:r>
        <w:rPr>
          <w:rFonts w:ascii="Arial" w:cs="Arial" w:eastAsia="Arial" w:hAnsi="Arial"/>
          <w:sz w:val="19"/>
          <w:szCs w:val="19"/>
        </w:rPr>
        <w:t xml:space="preserve">Multiple accepted receipts may be aggregated by PO line. Each record must include receipt ID, receipt date, receiver, location and delivery-note reference. Partial receipt does not itself create an exception: a supplier may invoice only the accepted portion and leave the PO balance open.</w:t>
      </w:r>
    </w:p>
    <w:p>
      <w:pPr>
        <w:pStyle w:val="Heading2"/>
      </w:pPr>
      <w:r>
        <w:rPr>
          <w:rFonts w:ascii="Arial" w:cs="Arial" w:eastAsia="Arial" w:hAnsi="Arial"/>
          <w:b/>
          <w:bCs/>
          <w:color w:val="2F75B5"/>
          <w:sz w:val="24"/>
          <w:szCs w:val="24"/>
        </w:rPr>
        <w:t xml:space="preserve">4.3 Reversals and prior invoices</w:t>
      </w:r>
    </w:p>
    <w:p>
      <w:pPr>
        <w:pStyle w:val="ListParagraph"/>
        <w:numPr>
          <w:ilvl w:val="0"/>
          <w:numId w:val="2"/>
        </w:numPr>
        <w:spacing w:after="70" w:line="250"/>
      </w:pPr>
      <w:r>
        <w:rPr>
          <w:rFonts w:ascii="Arial" w:cs="Arial" w:eastAsia="Arial" w:hAnsi="Arial"/>
          <w:sz w:val="19"/>
          <w:szCs w:val="19"/>
        </w:rPr>
        <w:t xml:space="preserve">Receipt reversals reduce eligible quantity as of the reversal posting time.</w:t>
      </w:r>
    </w:p>
    <w:p>
      <w:pPr>
        <w:pStyle w:val="ListParagraph"/>
        <w:numPr>
          <w:ilvl w:val="0"/>
          <w:numId w:val="2"/>
        </w:numPr>
        <w:spacing w:after="70" w:line="250"/>
      </w:pPr>
      <w:r>
        <w:rPr>
          <w:rFonts w:ascii="Arial" w:cs="Arial" w:eastAsia="Arial" w:hAnsi="Arial"/>
          <w:sz w:val="19"/>
          <w:szCs w:val="19"/>
        </w:rPr>
        <w:t xml:space="preserve">Previously posted invoice quantities must be deducted even if payment has not yet occurred.</w:t>
      </w:r>
    </w:p>
    <w:p>
      <w:pPr>
        <w:pStyle w:val="ListParagraph"/>
        <w:numPr>
          <w:ilvl w:val="0"/>
          <w:numId w:val="2"/>
        </w:numPr>
        <w:spacing w:after="70" w:line="250"/>
      </w:pPr>
      <w:r>
        <w:rPr>
          <w:rFonts w:ascii="Arial" w:cs="Arial" w:eastAsia="Arial" w:hAnsi="Arial"/>
          <w:sz w:val="19"/>
          <w:szCs w:val="19"/>
        </w:rPr>
        <w:t xml:space="preserve">Credit notes reduce cumulative invoiced quantity only after they are validated and posted.</w:t>
      </w:r>
    </w:p>
    <w:p>
      <w:pPr>
        <w:pStyle w:val="ListParagraph"/>
        <w:numPr>
          <w:ilvl w:val="0"/>
          <w:numId w:val="2"/>
        </w:numPr>
        <w:spacing w:after="70" w:line="250"/>
      </w:pPr>
      <w:r>
        <w:rPr>
          <w:rFonts w:ascii="Arial" w:cs="Arial" w:eastAsia="Arial" w:hAnsi="Arial"/>
          <w:sz w:val="19"/>
          <w:szCs w:val="19"/>
        </w:rPr>
        <w:t xml:space="preserve">AP may not create, backdate or modify a receipt. Only authorized receiving personnel may correct receiving evidence.</w:t>
      </w:r>
    </w:p>
    <w:p>
      <w:pPr>
        <w:spacing w:after="110" w:line="265"/>
      </w:pPr>
      <w:r>
        <w:rPr>
          <w:rFonts w:ascii="Arial" w:cs="Arial" w:eastAsia="Arial" w:hAnsi="Arial"/>
          <w:sz w:val="19"/>
          <w:szCs w:val="19"/>
        </w:rPr>
        <w:t xml:space="preserve">When a line contains both accepted and unaccepted quantity, the recommended amount at risk is the unsupported quantity multiplied by invoice unit price. Tax and freight remain blocked to the extent they relate to the unsupported quantity.</w:t>
      </w:r>
    </w:p>
    <w:p>
      <w:r>
        <w:br w:type="page"/>
      </w:r>
    </w:p>
    <w:p>
      <w:pPr>
        <w:pStyle w:val="Heading1"/>
      </w:pPr>
      <w:r>
        <w:rPr>
          <w:rFonts w:ascii="Arial" w:cs="Arial" w:eastAsia="Arial" w:hAnsi="Arial"/>
          <w:b/>
          <w:bCs/>
          <w:color w:val="17365D"/>
          <w:sz w:val="31"/>
          <w:szCs w:val="31"/>
        </w:rPr>
        <w:t xml:space="preserve">5. Duplicate, vendor, currency and terms controls</w:t>
      </w:r>
    </w:p>
    <w:p>
      <w:pPr>
        <w:pStyle w:val="Heading2"/>
      </w:pPr>
      <w:r>
        <w:rPr>
          <w:rFonts w:ascii="Arial" w:cs="Arial" w:eastAsia="Arial" w:hAnsi="Arial"/>
          <w:b/>
          <w:bCs/>
          <w:color w:val="2F75B5"/>
          <w:sz w:val="24"/>
          <w:szCs w:val="24"/>
        </w:rPr>
        <w:t xml:space="preserve">5.1 Duplicate detection</w:t>
      </w:r>
    </w:p>
    <w:p>
      <w:pPr>
        <w:spacing w:after="110" w:line="265"/>
      </w:pPr>
      <w:r>
        <w:rPr>
          <w:rFonts w:ascii="Arial" w:cs="Arial" w:eastAsia="Arial" w:hAnsi="Arial"/>
          <w:sz w:val="19"/>
          <w:szCs w:val="19"/>
        </w:rPr>
        <w:t xml:space="preserve">Duplicate screening occurs before posting and again before payment release. The normalized invoice number removes spaces, punctuation, case differences and copy suffixes such as “A,” “B,” “COPY” or “DUPLICATE.” The primary duplicate key is legal entity + vendor ID + normalized invoice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Signal</w:t>
            </w:r>
          </w:p>
        </w:tc>
        <w:tc>
          <w:tcPr>
            <w:tcW w:type="dxa" w:w="57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Interpretation</w:t>
            </w:r>
          </w:p>
        </w:tc>
      </w:tr>
      <w:tr>
        <w:tc>
          <w:tcPr>
            <w:tcW w:type="dxa" w:w="3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Exact vendor and normalized invoice number</w:t>
            </w:r>
          </w:p>
        </w:tc>
        <w:tc>
          <w:tcPr>
            <w:tcW w:type="dxa" w:w="57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Presumed duplicate unless the earlier record is a documented void.</w:t>
            </w:r>
          </w:p>
        </w:tc>
      </w:tr>
      <w:tr>
        <w:tc>
          <w:tcPr>
            <w:tcW w:type="dxa" w:w="3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vendor, PO, invoice date and total</w:t>
            </w:r>
          </w:p>
        </w:tc>
        <w:tc>
          <w:tcPr>
            <w:tcW w:type="dxa" w:w="57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High-confidence duplicate fingerprint; review even if invoice number differs.</w:t>
            </w:r>
          </w:p>
        </w:tc>
      </w:tr>
      <w:tr>
        <w:tc>
          <w:tcPr>
            <w:tcW w:type="dxa" w:w="3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invoice number across different vendors</w:t>
            </w:r>
          </w:p>
        </w:tc>
        <w:tc>
          <w:tcPr>
            <w:tcW w:type="dxa" w:w="57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Not automatically duplicate; investigate vendor identity or data-entry error.</w:t>
            </w:r>
          </w:p>
        </w:tc>
      </w:tr>
      <w:tr>
        <w:tc>
          <w:tcPr>
            <w:tcW w:type="dxa" w:w="33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Credit note referencing original invoice</w:t>
            </w:r>
          </w:p>
        </w:tc>
        <w:tc>
          <w:tcPr>
            <w:tcW w:type="dxa" w:w="57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Not duplicate when document type, sign and reference are valid.</w:t>
            </w:r>
          </w:p>
        </w:tc>
      </w:tr>
    </w:tbl>
    <w:p>
      <w:pPr>
        <w:spacing w:after="110" w:line="265"/>
      </w:pPr>
      <w:r>
        <w:rPr>
          <w:rFonts w:ascii="Arial" w:cs="Arial" w:eastAsia="Arial" w:hAnsi="Arial"/>
          <w:sz w:val="19"/>
          <w:szCs w:val="19"/>
        </w:rPr>
        <w:t xml:space="preserve">The first valid, received document is the original. A later scan, copy or retransmission does not create a new liability. Confirmed duplicates receive EXC-DUP01, are blocked the same day and are linked to the original voucher.</w:t>
      </w:r>
    </w:p>
    <w:p>
      <w:pPr>
        <w:pStyle w:val="Heading2"/>
      </w:pPr>
      <w:r>
        <w:rPr>
          <w:rFonts w:ascii="Arial" w:cs="Arial" w:eastAsia="Arial" w:hAnsi="Arial"/>
          <w:b/>
          <w:bCs/>
          <w:color w:val="2F75B5"/>
          <w:sz w:val="24"/>
          <w:szCs w:val="24"/>
        </w:rPr>
        <w:t xml:space="preserve">5.2 Vendor status and category</w:t>
      </w:r>
    </w:p>
    <w:p>
      <w:pPr>
        <w:pStyle w:val="ListParagraph"/>
        <w:numPr>
          <w:ilvl w:val="0"/>
          <w:numId w:val="2"/>
        </w:numPr>
        <w:spacing w:after="70" w:line="250"/>
      </w:pPr>
      <w:r>
        <w:rPr>
          <w:rFonts w:ascii="Arial" w:cs="Arial" w:eastAsia="Arial" w:hAnsi="Arial"/>
          <w:sz w:val="19"/>
          <w:szCs w:val="19"/>
        </w:rPr>
        <w:t xml:space="preserve">Active and verified vendors may transact only in approved categories.</w:t>
      </w:r>
    </w:p>
    <w:p>
      <w:pPr>
        <w:pStyle w:val="ListParagraph"/>
        <w:numPr>
          <w:ilvl w:val="0"/>
          <w:numId w:val="2"/>
        </w:numPr>
        <w:spacing w:after="70" w:line="250"/>
      </w:pPr>
      <w:r>
        <w:rPr>
          <w:rFonts w:ascii="Arial" w:cs="Arial" w:eastAsia="Arial" w:hAnsi="Arial"/>
          <w:sz w:val="19"/>
          <w:szCs w:val="19"/>
        </w:rPr>
        <w:t xml:space="preserve">On Hold, Suspended or Blocked vendors cannot be posted or paid without documented Vendor Management clearance.</w:t>
      </w:r>
    </w:p>
    <w:p>
      <w:pPr>
        <w:pStyle w:val="ListParagraph"/>
        <w:numPr>
          <w:ilvl w:val="0"/>
          <w:numId w:val="2"/>
        </w:numPr>
        <w:spacing w:after="70" w:line="250"/>
      </w:pPr>
      <w:r>
        <w:rPr>
          <w:rFonts w:ascii="Arial" w:cs="Arial" w:eastAsia="Arial" w:hAnsi="Arial"/>
          <w:sz w:val="19"/>
          <w:szCs w:val="19"/>
        </w:rPr>
        <w:t xml:space="preserve">A name or address change does not authorize a vendor-ID change. Bank changes require independent verification.</w:t>
      </w:r>
    </w:p>
    <w:p>
      <w:pPr>
        <w:pStyle w:val="Heading2"/>
      </w:pPr>
      <w:r>
        <w:rPr>
          <w:rFonts w:ascii="Arial" w:cs="Arial" w:eastAsia="Arial" w:hAnsi="Arial"/>
          <w:b/>
          <w:bCs/>
          <w:color w:val="2F75B5"/>
          <w:sz w:val="24"/>
          <w:szCs w:val="24"/>
        </w:rPr>
        <w:t xml:space="preserve">5.3 Currency and payment terms</w:t>
      </w:r>
    </w:p>
    <w:p>
      <w:pPr>
        <w:spacing w:after="110" w:line="265"/>
      </w:pPr>
      <w:r>
        <w:rPr>
          <w:rFonts w:ascii="Arial" w:cs="Arial" w:eastAsia="Arial" w:hAnsi="Arial"/>
          <w:sz w:val="19"/>
          <w:szCs w:val="19"/>
        </w:rPr>
        <w:t xml:space="preserve">Invoice currency must equal PO currency. Currency mismatch receives EXC-CUR01; AP must not convert the invoice to make it fit. Payment terms may be equal to or less favorable than the PO for the supplier, but accelerated terms, early-payment discounts or due-date overrides require approval. Terms mismatch receives EXC-TERMS01.</w:t>
      </w:r>
    </w:p>
    <w:p>
      <w:r>
        <w:br w:type="page"/>
      </w:r>
    </w:p>
    <w:p>
      <w:pPr>
        <w:pStyle w:val="Heading1"/>
      </w:pPr>
      <w:r>
        <w:rPr>
          <w:rFonts w:ascii="Arial" w:cs="Arial" w:eastAsia="Arial" w:hAnsi="Arial"/>
          <w:b/>
          <w:bCs/>
          <w:color w:val="17365D"/>
          <w:sz w:val="31"/>
          <w:szCs w:val="31"/>
        </w:rPr>
        <w:t xml:space="preserve">6. Tax and freight rules</w:t>
      </w:r>
    </w:p>
    <w:p>
      <w:pPr>
        <w:pStyle w:val="Heading2"/>
      </w:pPr>
      <w:r>
        <w:rPr>
          <w:rFonts w:ascii="Arial" w:cs="Arial" w:eastAsia="Arial" w:hAnsi="Arial"/>
          <w:b/>
          <w:bCs/>
          <w:color w:val="2F75B5"/>
          <w:sz w:val="24"/>
          <w:szCs w:val="24"/>
        </w:rPr>
        <w:t xml:space="preserve">6.1 Tax validation</w:t>
      </w:r>
    </w:p>
    <w:p>
      <w:pPr>
        <w:spacing w:after="110" w:line="265"/>
      </w:pPr>
      <w:r>
        <w:rPr>
          <w:rFonts w:ascii="Arial" w:cs="Arial" w:eastAsia="Arial" w:hAnsi="Arial"/>
          <w:sz w:val="19"/>
          <w:szCs w:val="19"/>
        </w:rPr>
        <w:t xml:space="preserve">Tax must be tested independently from price. The authoritative tax code and rate are the approved PO values, corroborated by vendor master registration and ship-to jurisdiction. AP validates tax basis, rate, amount, exemption status and rounding.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Tax condition</w:t>
            </w:r>
          </w:p>
        </w:tc>
        <w:tc>
          <w:tcPr>
            <w:tcW w:type="dxa" w:w="51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Treatment</w:t>
            </w:r>
          </w:p>
        </w:tc>
      </w:tr>
      <w:tr>
        <w:tc>
          <w:tcPr>
            <w:tcW w:type="dxa" w:w="3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rate and calculated amount agree</w:t>
            </w:r>
          </w:p>
        </w:tc>
        <w:tc>
          <w:tcPr>
            <w:tcW w:type="dxa" w:w="5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Pass, subject to statutory rounding up to 0.02 currency units per invoice.</w:t>
            </w:r>
          </w:p>
        </w:tc>
      </w:tr>
      <w:tr>
        <w:tc>
          <w:tcPr>
            <w:tcW w:type="dxa" w:w="3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Rate differs from PO/vendor rate</w:t>
            </w:r>
          </w:p>
        </w:tc>
        <w:tc>
          <w:tcPr>
            <w:tcW w:type="dxa" w:w="5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Hold with EXC-TAX01; obtain corrected tax invoice or approved tax determination.</w:t>
            </w:r>
          </w:p>
        </w:tc>
      </w:tr>
      <w:tr>
        <w:tc>
          <w:tcPr>
            <w:tcW w:type="dxa" w:w="3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 charged on non-taxable freight or exempt item</w:t>
            </w:r>
          </w:p>
        </w:tc>
        <w:tc>
          <w:tcPr>
            <w:tcW w:type="dxa" w:w="5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Hold affected amount with EXC-TAX01.</w:t>
            </w:r>
          </w:p>
        </w:tc>
      </w:tr>
      <w:tr>
        <w:tc>
          <w:tcPr>
            <w:tcW w:type="dxa" w:w="39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Missing required tax registration or invoice disclosure</w:t>
            </w:r>
          </w:p>
        </w:tc>
        <w:tc>
          <w:tcPr>
            <w:tcW w:type="dxa" w:w="5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Hold with EXC-TAX01 and route to Tax/AP.</w:t>
            </w:r>
          </w:p>
        </w:tc>
      </w:tr>
    </w:tbl>
    <w:p>
      <w:pPr>
        <w:spacing w:after="110" w:line="265"/>
      </w:pPr>
      <w:r>
        <w:rPr>
          <w:rFonts w:ascii="Arial" w:cs="Arial" w:eastAsia="Arial" w:hAnsi="Arial"/>
          <w:sz w:val="19"/>
          <w:szCs w:val="19"/>
        </w:rPr>
        <w:t xml:space="preserve">Price tolerance cannot absorb a tax variance. The amount at risk for a pure rate mismatch is the absolute difference between invoice tax and tax calculated at the authoritative rate, allocated to invoice lines by taxable line value.</w:t>
      </w:r>
    </w:p>
    <w:p>
      <w:pPr>
        <w:pStyle w:val="Heading2"/>
      </w:pPr>
      <w:r>
        <w:rPr>
          <w:rFonts w:ascii="Arial" w:cs="Arial" w:eastAsia="Arial" w:hAnsi="Arial"/>
          <w:b/>
          <w:bCs/>
          <w:color w:val="2F75B5"/>
          <w:sz w:val="24"/>
          <w:szCs w:val="24"/>
        </w:rPr>
        <w:t xml:space="preserve">6.2 Freight validation</w:t>
      </w:r>
    </w:p>
    <w:p>
      <w:pPr>
        <w:pStyle w:val="ListParagraph"/>
        <w:numPr>
          <w:ilvl w:val="0"/>
          <w:numId w:val="2"/>
        </w:numPr>
        <w:spacing w:after="70" w:line="250"/>
      </w:pPr>
      <w:r>
        <w:rPr>
          <w:rFonts w:ascii="Arial" w:cs="Arial" w:eastAsia="Arial" w:hAnsi="Arial"/>
          <w:sz w:val="19"/>
          <w:szCs w:val="19"/>
        </w:rPr>
        <w:t xml:space="preserve">Freight is payable only when the PO line explicitly states Freight Allowed = Yes.</w:t>
      </w:r>
    </w:p>
    <w:p>
      <w:pPr>
        <w:pStyle w:val="ListParagraph"/>
        <w:numPr>
          <w:ilvl w:val="0"/>
          <w:numId w:val="2"/>
        </w:numPr>
        <w:spacing w:after="70" w:line="250"/>
      </w:pPr>
      <w:r>
        <w:rPr>
          <w:rFonts w:ascii="Arial" w:cs="Arial" w:eastAsia="Arial" w:hAnsi="Arial"/>
          <w:sz w:val="19"/>
          <w:szCs w:val="19"/>
        </w:rPr>
        <w:t xml:space="preserve">Actual freight must not exceed the PO line or PO-level cap. Unused capacity on one line cannot offset excess on another unless the PO explicitly defines a shared cap.</w:t>
      </w:r>
    </w:p>
    <w:p>
      <w:pPr>
        <w:pStyle w:val="ListParagraph"/>
        <w:numPr>
          <w:ilvl w:val="0"/>
          <w:numId w:val="2"/>
        </w:numPr>
        <w:spacing w:after="70" w:line="250"/>
      </w:pPr>
      <w:r>
        <w:rPr>
          <w:rFonts w:ascii="Arial" w:cs="Arial" w:eastAsia="Arial" w:hAnsi="Arial"/>
          <w:sz w:val="19"/>
          <w:szCs w:val="19"/>
        </w:rPr>
        <w:t xml:space="preserve">Freight requires carrier or delivery evidence when requested by AP or Procurement.</w:t>
      </w:r>
    </w:p>
    <w:p>
      <w:pPr>
        <w:pStyle w:val="ListParagraph"/>
        <w:numPr>
          <w:ilvl w:val="0"/>
          <w:numId w:val="2"/>
        </w:numPr>
        <w:spacing w:after="70" w:line="250"/>
      </w:pPr>
      <w:r>
        <w:rPr>
          <w:rFonts w:ascii="Arial" w:cs="Arial" w:eastAsia="Arial" w:hAnsi="Arial"/>
          <w:sz w:val="19"/>
          <w:szCs w:val="19"/>
        </w:rPr>
        <w:t xml:space="preserve">Unauthorized freight or an exceeded cap receives EXC-FRT01 and is held or credited.</w:t>
      </w:r>
    </w:p>
    <w:p>
      <w:pPr>
        <w:pStyle w:val="Heading2"/>
      </w:pPr>
      <w:r>
        <w:rPr>
          <w:rFonts w:ascii="Arial" w:cs="Arial" w:eastAsia="Arial" w:hAnsi="Arial"/>
          <w:b/>
          <w:bCs/>
          <w:color w:val="2F75B5"/>
          <w:sz w:val="24"/>
          <w:szCs w:val="24"/>
        </w:rPr>
        <w:t xml:space="preserve">6.3 Rounding</w:t>
      </w:r>
    </w:p>
    <w:p>
      <w:pPr>
        <w:spacing w:after="110" w:line="265"/>
      </w:pPr>
      <w:r>
        <w:rPr>
          <w:rFonts w:ascii="Arial" w:cs="Arial" w:eastAsia="Arial" w:hAnsi="Arial"/>
          <w:sz w:val="19"/>
          <w:szCs w:val="19"/>
        </w:rPr>
        <w:t xml:space="preserve">Currency totals round to two decimal places after line extension. Tax follows jurisdictional rules but must reconcile to the stated invoice total. A reconciliation difference greater than 0.02 currency units receives EXC-DATA01; AP must not force-balance a document.</w:t>
      </w:r>
    </w:p>
    <w:p>
      <w:r>
        <w:br w:type="page"/>
      </w:r>
    </w:p>
    <w:p>
      <w:pPr>
        <w:pStyle w:val="Heading1"/>
      </w:pPr>
      <w:r>
        <w:rPr>
          <w:rFonts w:ascii="Arial" w:cs="Arial" w:eastAsia="Arial" w:hAnsi="Arial"/>
          <w:b/>
          <w:bCs/>
          <w:color w:val="17365D"/>
          <w:sz w:val="31"/>
          <w:szCs w:val="31"/>
        </w:rPr>
        <w:t xml:space="preserve">7. Fixed exception codes, ownership and SLAs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3950"/>
        <w:gridCol w:w="2000"/>
        <w:gridCol w:w="1526"/>
      </w:tblGrid>
      <w:tr>
        <w:trPr>
          <w:tblHeader/>
        </w:trPr>
        <w:tc>
          <w:tcPr>
            <w:tcW w:type="dxa" w:w="155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Code</w:t>
            </w:r>
          </w:p>
        </w:tc>
        <w:tc>
          <w:tcPr>
            <w:tcW w:type="dxa" w:w="395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Definition</w:t>
            </w:r>
          </w:p>
        </w:tc>
        <w:tc>
          <w:tcPr>
            <w:tcW w:type="dxa" w:w="20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Default owner</w:t>
            </w:r>
          </w:p>
        </w:tc>
        <w:tc>
          <w:tcPr>
            <w:tcW w:type="dxa" w:w="15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Target response</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OK-000</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Compliant match</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AP Processor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Standard cycle</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INF-PV01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Price variance within both limits</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AP Processor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Standard cycle</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EXC-PV02</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Price exceeds 2% or 100-unit limit</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Requester / Buyer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EXC-QTY01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Quantity exceeds accepted receipt</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Receiving / Requester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EXC-REC01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Open quantity not yet accepted</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Receiving / Requester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EXC-DUP01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Probable or confirmed duplicate</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AP Controls</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day</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EXC-PO01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 or PO line not found</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Procurement</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day</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EXC-PO02</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 unapproved, closed or vendor mismatch</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Procurement</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EXC-TAX01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 code, rate, basis or disclosure mismatch</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 / AP</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EXC-FRT01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Freight unauthorized or above cap</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Buyer</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EXC-CUR01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Invoice and PO currency mismatch</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Buyer / Treasury</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EXC-VND01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inactive, unverified or category not approved</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Management</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day</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EXC-TERMS01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Unapproved payment-terms change</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Buyer / Treasury</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 business days</w:t>
            </w:r>
          </w:p>
        </w:tc>
      </w:tr>
      <w:tr>
        <w:tc>
          <w:tcPr>
            <w:tcW w:type="dxa" w:w="15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EXC-DATA01</w:t>
            </w:r>
          </w:p>
        </w:tc>
        <w:tc>
          <w:tcPr>
            <w:tcW w:type="dxa" w:w="395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Missing fields, arithmetic or reconciliation defect</w:t>
            </w:r>
          </w:p>
        </w:tc>
        <w:tc>
          <w:tcPr>
            <w:tcW w:type="dxa" w:w="20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 AP</w:t>
            </w:r>
          </w:p>
        </w:tc>
        <w:tc>
          <w:tcPr>
            <w:tcW w:type="dxa" w:w="15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 business day</w:t>
            </w:r>
          </w:p>
        </w:tc>
      </w:tr>
    </w:tbl>
    <w:p>
      <w:pPr>
        <w:pStyle w:val="Heading2"/>
      </w:pPr>
      <w:r>
        <w:rPr>
          <w:rFonts w:ascii="Arial" w:cs="Arial" w:eastAsia="Arial" w:hAnsi="Arial"/>
          <w:b/>
          <w:bCs/>
          <w:color w:val="2F75B5"/>
          <w:sz w:val="24"/>
          <w:szCs w:val="24"/>
        </w:rPr>
        <w:t xml:space="preserve">7.1 Clock and escalation</w:t>
      </w:r>
    </w:p>
    <w:p>
      <w:pPr>
        <w:spacing w:after="110" w:line="265"/>
      </w:pPr>
      <w:r>
        <w:rPr>
          <w:rFonts w:ascii="Arial" w:cs="Arial" w:eastAsia="Arial" w:hAnsi="Arial"/>
          <w:sz w:val="19"/>
          <w:szCs w:val="19"/>
        </w:rPr>
        <w:t xml:space="preserve">The SLA clock begins when AP assigns a complete evidence package. Owners must acknowledge within one business day. Unresolved exceptions escalate to the owner’s manager after the target response time, to the AP Manager after five business days and to the Controller when payment due date is within three business days or exposure exceeds 25,000 currency units.</w:t>
      </w:r>
    </w:p>
    <w:p>
      <w:pPr>
        <w:pStyle w:val="Heading2"/>
      </w:pPr>
      <w:r>
        <w:rPr>
          <w:rFonts w:ascii="Arial" w:cs="Arial" w:eastAsia="Arial" w:hAnsi="Arial"/>
          <w:b/>
          <w:bCs/>
          <w:color w:val="2F75B5"/>
          <w:sz w:val="24"/>
          <w:szCs w:val="24"/>
        </w:rPr>
        <w:t xml:space="preserve">7.2 Resolution authority</w:t>
      </w:r>
    </w:p>
    <w:p>
      <w:pPr>
        <w:spacing w:after="110" w:line="265"/>
      </w:pPr>
      <w:r>
        <w:rPr>
          <w:rFonts w:ascii="Arial" w:cs="Arial" w:eastAsia="Arial" w:hAnsi="Arial"/>
          <w:sz w:val="19"/>
          <w:szCs w:val="19"/>
        </w:rPr>
        <w:t xml:space="preserve">Only Procurement may approve commercial PO changes; only Receiving may correct receipt evidence; only Tax may approve a tax treatment; only Vendor Management may clear vendor status. AP validates completion and maintains the audit trail but may not approve its own exception.</w:t>
      </w:r>
    </w:p>
    <w:p>
      <w:r>
        <w:br w:type="page"/>
      </w:r>
    </w:p>
    <w:p>
      <w:pPr>
        <w:pStyle w:val="Heading1"/>
      </w:pPr>
      <w:r>
        <w:rPr>
          <w:rFonts w:ascii="Arial" w:cs="Arial" w:eastAsia="Arial" w:hAnsi="Arial"/>
          <w:b/>
          <w:bCs/>
          <w:color w:val="17365D"/>
          <w:sz w:val="31"/>
          <w:szCs w:val="31"/>
        </w:rPr>
        <w:t xml:space="preserve">8. Controls, evidence and escalation</w:t>
      </w:r>
    </w:p>
    <w:p>
      <w:pPr>
        <w:pStyle w:val="Heading2"/>
      </w:pPr>
      <w:r>
        <w:rPr>
          <w:rFonts w:ascii="Arial" w:cs="Arial" w:eastAsia="Arial" w:hAnsi="Arial"/>
          <w:b/>
          <w:bCs/>
          <w:color w:val="2F75B5"/>
          <w:sz w:val="24"/>
          <w:szCs w:val="24"/>
        </w:rPr>
        <w:t xml:space="preserve">8.1 Required evidence package</w:t>
      </w:r>
    </w:p>
    <w:p>
      <w:pPr>
        <w:pStyle w:val="ListParagraph"/>
        <w:numPr>
          <w:ilvl w:val="0"/>
          <w:numId w:val="2"/>
        </w:numPr>
        <w:spacing w:after="70" w:line="250"/>
      </w:pPr>
      <w:r>
        <w:rPr>
          <w:rFonts w:ascii="Arial" w:cs="Arial" w:eastAsia="Arial" w:hAnsi="Arial"/>
          <w:sz w:val="19"/>
          <w:szCs w:val="19"/>
        </w:rPr>
        <w:t xml:space="preserve">Selectable invoice image or approved electronic invoice payload, including vendor identity, invoice number, PO, date, currency and totals.</w:t>
      </w:r>
    </w:p>
    <w:p>
      <w:pPr>
        <w:pStyle w:val="ListParagraph"/>
        <w:numPr>
          <w:ilvl w:val="0"/>
          <w:numId w:val="2"/>
        </w:numPr>
        <w:spacing w:after="70" w:line="250"/>
      </w:pPr>
      <w:r>
        <w:rPr>
          <w:rFonts w:ascii="Arial" w:cs="Arial" w:eastAsia="Arial" w:hAnsi="Arial"/>
          <w:sz w:val="19"/>
          <w:szCs w:val="19"/>
        </w:rPr>
        <w:t xml:space="preserve">Approved PO revision and line details effective on the invoice date.</w:t>
      </w:r>
    </w:p>
    <w:p>
      <w:pPr>
        <w:pStyle w:val="ListParagraph"/>
        <w:numPr>
          <w:ilvl w:val="0"/>
          <w:numId w:val="2"/>
        </w:numPr>
        <w:spacing w:after="70" w:line="250"/>
      </w:pPr>
      <w:r>
        <w:rPr>
          <w:rFonts w:ascii="Arial" w:cs="Arial" w:eastAsia="Arial" w:hAnsi="Arial"/>
          <w:sz w:val="19"/>
          <w:szCs w:val="19"/>
        </w:rPr>
        <w:t xml:space="preserve">Accepted receipt or service-entry records, including receiver, date, location and delivery-note reference.</w:t>
      </w:r>
    </w:p>
    <w:p>
      <w:pPr>
        <w:pStyle w:val="ListParagraph"/>
        <w:numPr>
          <w:ilvl w:val="0"/>
          <w:numId w:val="2"/>
        </w:numPr>
        <w:spacing w:after="70" w:line="250"/>
      </w:pPr>
      <w:r>
        <w:rPr>
          <w:rFonts w:ascii="Arial" w:cs="Arial" w:eastAsia="Arial" w:hAnsi="Arial"/>
          <w:sz w:val="19"/>
          <w:szCs w:val="19"/>
        </w:rPr>
        <w:t xml:space="preserve">Vendor-master snapshot covering status, currency, tax, bank verification, risk tier and approved categories.</w:t>
      </w:r>
    </w:p>
    <w:p>
      <w:pPr>
        <w:pStyle w:val="ListParagraph"/>
        <w:numPr>
          <w:ilvl w:val="0"/>
          <w:numId w:val="2"/>
        </w:numPr>
        <w:spacing w:after="70" w:line="250"/>
      </w:pPr>
      <w:r>
        <w:rPr>
          <w:rFonts w:ascii="Arial" w:cs="Arial" w:eastAsia="Arial" w:hAnsi="Arial"/>
          <w:sz w:val="19"/>
          <w:szCs w:val="19"/>
        </w:rPr>
        <w:t xml:space="preserve">Tolerance calculation, duplicate-search result, reconciliation and exception correspondence.</w:t>
      </w:r>
    </w:p>
    <w:p>
      <w:pPr>
        <w:pStyle w:val="Heading2"/>
      </w:pPr>
      <w:r>
        <w:rPr>
          <w:rFonts w:ascii="Arial" w:cs="Arial" w:eastAsia="Arial" w:hAnsi="Arial"/>
          <w:b/>
          <w:bCs/>
          <w:color w:val="2F75B5"/>
          <w:sz w:val="24"/>
          <w:szCs w:val="24"/>
        </w:rPr>
        <w:t xml:space="preserve">8.2 Preventive and detective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Control</w:t>
            </w:r>
          </w:p>
        </w:tc>
        <w:tc>
          <w:tcPr>
            <w:tcW w:type="dxa" w:w="18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Frequency</w:t>
            </w:r>
          </w:p>
        </w:tc>
        <w:tc>
          <w:tcPr>
            <w:tcW w:type="dxa" w:w="38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Evidence</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Vendor/PO validation before posting</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Every invoice</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System validation log or processor checklist</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Duplicate scan before posting and payment</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Every invoice / payment run</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Search result and duplicate disposition</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Three-way line match</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Every PO-backed line</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Line-level result and exception code</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Exception aging review</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Daily</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Aging queue by owner and SLA</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Tolerance override review</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Monthly</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Controller-approved override report</w:t>
            </w:r>
          </w:p>
        </w:tc>
      </w:tr>
      <w:tr>
        <w:tc>
          <w:tcPr>
            <w:tcW w:type="dxa" w:w="3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 status and bank revalidation</w:t>
            </w:r>
          </w:p>
        </w:tc>
        <w:tc>
          <w:tcPr>
            <w:tcW w:type="dxa" w:w="18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Risk-based / before bank change</w:t>
            </w:r>
          </w:p>
        </w:tc>
        <w:tc>
          <w:tcPr>
            <w:tcW w:type="dxa" w:w="38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Vendor-management verification record</w:t>
            </w:r>
          </w:p>
        </w:tc>
      </w:tr>
    </w:tbl>
    <w:p>
      <w:pPr>
        <w:pStyle w:val="Heading2"/>
      </w:pPr>
      <w:r>
        <w:rPr>
          <w:rFonts w:ascii="Arial" w:cs="Arial" w:eastAsia="Arial" w:hAnsi="Arial"/>
          <w:b/>
          <w:bCs/>
          <w:color w:val="2F75B5"/>
          <w:sz w:val="24"/>
          <w:szCs w:val="24"/>
        </w:rPr>
        <w:t xml:space="preserve">8.3 Segregation of duties</w:t>
      </w:r>
    </w:p>
    <w:p>
      <w:pPr>
        <w:spacing w:after="110" w:line="265"/>
      </w:pPr>
      <w:r>
        <w:rPr>
          <w:rFonts w:ascii="Arial" w:cs="Arial" w:eastAsia="Arial" w:hAnsi="Arial"/>
          <w:sz w:val="19"/>
          <w:szCs w:val="19"/>
        </w:rPr>
        <w:t xml:space="preserve">The requester, approver, receiver, AP processor and payment releaser must be independently identifiable. A person must not both create receiving evidence and approve the resulting AP exception. Emergency overrides require Controller approval and retrospective review within five business days.</w:t>
      </w:r>
    </w:p>
    <w:p>
      <w:pPr>
        <w:pStyle w:val="Heading2"/>
      </w:pPr>
      <w:r>
        <w:rPr>
          <w:rFonts w:ascii="Arial" w:cs="Arial" w:eastAsia="Arial" w:hAnsi="Arial"/>
          <w:b/>
          <w:bCs/>
          <w:color w:val="2F75B5"/>
          <w:sz w:val="24"/>
          <w:szCs w:val="24"/>
        </w:rPr>
        <w:t xml:space="preserve">8.4 Retention</w:t>
      </w:r>
    </w:p>
    <w:p>
      <w:pPr>
        <w:spacing w:after="110" w:line="265"/>
      </w:pPr>
      <w:r>
        <w:rPr>
          <w:rFonts w:ascii="Arial" w:cs="Arial" w:eastAsia="Arial" w:hAnsi="Arial"/>
          <w:sz w:val="19"/>
          <w:szCs w:val="19"/>
        </w:rPr>
        <w:t xml:space="preserve">Retain the complete invoice-to-payment evidence chain for seven years or longer when legal hold applies. Evidence must be searchable by vendor ID, invoice number, PO and voucher. Deletions, replacements and overrides must preserve immutable audit history.</w:t>
      </w:r>
    </w:p>
    <w:p>
      <w:r>
        <w:br w:type="page"/>
      </w:r>
    </w:p>
    <w:p>
      <w:pPr>
        <w:pStyle w:val="Heading1"/>
      </w:pPr>
      <w:r>
        <w:rPr>
          <w:rFonts w:ascii="Arial" w:cs="Arial" w:eastAsia="Arial" w:hAnsi="Arial"/>
          <w:b/>
          <w:bCs/>
          <w:color w:val="17365D"/>
          <w:sz w:val="31"/>
          <w:szCs w:val="31"/>
        </w:rPr>
        <w:t xml:space="preserve">9. Worked examples and final checklist</w:t>
      </w:r>
    </w:p>
    <w:p>
      <w:pPr>
        <w:pStyle w:val="Heading2"/>
      </w:pPr>
      <w:r>
        <w:rPr>
          <w:rFonts w:ascii="Arial" w:cs="Arial" w:eastAsia="Arial" w:hAnsi="Arial"/>
          <w:b/>
          <w:bCs/>
          <w:color w:val="2F75B5"/>
          <w:sz w:val="24"/>
          <w:szCs w:val="24"/>
        </w:rPr>
        <w:t xml:space="preserve">9.1 Worked scenario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126"/>
      </w:tblGrid>
      <w:tr>
        <w:trPr>
          <w:tblHeader/>
        </w:trPr>
        <w:tc>
          <w:tcPr>
            <w:tcW w:type="dxa" w:w="25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Scenario</w:t>
            </w:r>
          </w:p>
        </w:tc>
        <w:tc>
          <w:tcPr>
            <w:tcW w:type="dxa" w:w="2400"/>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Expected conclusion</w:t>
            </w:r>
          </w:p>
        </w:tc>
        <w:tc>
          <w:tcPr>
            <w:tcW w:type="dxa" w:w="4126"/>
            <w:tcBorders>
              <w:top w:val="single" w:color="B7C7D3" w:sz="1"/>
              <w:left w:val="single" w:color="B7C7D3" w:sz="1"/>
              <w:bottom w:val="single" w:color="B7C7D3" w:sz="1"/>
              <w:right w:val="single" w:color="B7C7D3" w:sz="1"/>
            </w:tcBorders>
            <w:shd w:fill="17365D" w:val="clear"/>
            <w:tcMar>
              <w:top w:type="dxa" w:w="75"/>
              <w:left w:type="dxa" w:w="100"/>
              <w:bottom w:type="dxa" w:w="75"/>
              <w:right w:type="dxa" w:w="100"/>
            </w:tcMar>
          </w:tcPr>
          <w:p>
            <w:pPr>
              <w:spacing w:after="0"/>
            </w:pPr>
            <w:r>
              <w:rPr>
                <w:rFonts w:ascii="Arial" w:cs="Arial" w:eastAsia="Arial" w:hAnsi="Arial"/>
                <w:b/>
                <w:bCs/>
                <w:color w:val="FFFFFF"/>
                <w:sz w:val="17"/>
                <w:szCs w:val="17"/>
              </w:rPr>
              <w:t xml:space="preserve">Reason</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Exact match</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OK-000; post</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PO, accepted receipt, invoice, tax and freight agree.</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1.25% / 50-unit price variance</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INF-PV01; post</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Both 2% and 100-unit limits pass.</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3.33% / 240-unit price variance</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EXC-PV02; hold</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Either failed test is sufficient; here both fail.</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80 billed / 70 accepted</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EXC-QTY01; hold 10 units</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Rejected or unsupported quantity is not payable.</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Later copy of original invoice</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EXC-DUP01; block</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Same normalized identity and commercial fingerprint.</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Unknown PO</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EXC-PO01; hold</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A valid vendor does not substitute for an approved PO.</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10% invoice tax / 8.25% authority</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EXC-TAX01; hold</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Tax mismatch is independent of price tolerance.</w:t>
            </w:r>
          </w:p>
        </w:tc>
      </w:tr>
      <w:tr>
        <w:tc>
          <w:tcPr>
            <w:tcW w:type="dxa" w:w="25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20 billed / 12 accepted / 8 scheduled</w:t>
            </w:r>
          </w:p>
        </w:tc>
        <w:tc>
          <w:tcPr>
            <w:tcW w:type="dxa" w:w="2400"/>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EXC-REC01; hold 8 units</w:t>
            </w:r>
          </w:p>
        </w:tc>
        <w:tc>
          <w:tcPr>
            <w:tcW w:type="dxa" w:w="4126"/>
            <w:tcBorders>
              <w:top w:val="single" w:color="B7C7D3" w:sz="1"/>
              <w:left w:val="single" w:color="B7C7D3" w:sz="1"/>
              <w:bottom w:val="single" w:color="B7C7D3" w:sz="1"/>
              <w:right w:val="single" w:color="B7C7D3" w:sz="1"/>
            </w:tcBorders>
            <w:shd w:fill="FFFFFF" w:val="clear"/>
            <w:tcMar>
              <w:top w:type="dxa" w:w="75"/>
              <w:left w:type="dxa" w:w="100"/>
              <w:bottom w:type="dxa" w:w="75"/>
              <w:right w:type="dxa" w:w="100"/>
            </w:tcMar>
          </w:tcPr>
          <w:p>
            <w:pPr>
              <w:spacing w:after="0"/>
            </w:pPr>
            <w:r>
              <w:rPr>
                <w:rFonts w:ascii="Arial" w:cs="Arial" w:eastAsia="Arial" w:hAnsi="Arial"/>
                <w:b w:val="false"/>
                <w:bCs w:val="false"/>
                <w:color w:val="263746"/>
                <w:sz w:val="16"/>
                <w:szCs w:val="16"/>
              </w:rPr>
              <w:t xml:space="preserve">Scheduled quantity remains open until accepted.</w:t>
            </w:r>
          </w:p>
        </w:tc>
      </w:tr>
    </w:tbl>
    <w:p>
      <w:pPr>
        <w:pStyle w:val="Heading2"/>
      </w:pPr>
      <w:r>
        <w:rPr>
          <w:rFonts w:ascii="Arial" w:cs="Arial" w:eastAsia="Arial" w:hAnsi="Arial"/>
          <w:b/>
          <w:bCs/>
          <w:color w:val="2F75B5"/>
          <w:sz w:val="24"/>
          <w:szCs w:val="24"/>
        </w:rPr>
        <w:t xml:space="preserve">9.2 Processor final checklist</w:t>
      </w:r>
    </w:p>
    <w:p>
      <w:pPr>
        <w:pStyle w:val="ListParagraph"/>
        <w:numPr>
          <w:ilvl w:val="0"/>
          <w:numId w:val="2"/>
        </w:numPr>
        <w:spacing w:after="70" w:line="250"/>
      </w:pPr>
      <w:r>
        <w:rPr>
          <w:rFonts w:ascii="Arial" w:cs="Arial" w:eastAsia="Arial" w:hAnsi="Arial"/>
          <w:sz w:val="19"/>
          <w:szCs w:val="19"/>
        </w:rPr>
        <w:t xml:space="preserve">Confirm vendor ID and active/verified status.</w:t>
      </w:r>
    </w:p>
    <w:p>
      <w:pPr>
        <w:pStyle w:val="ListParagraph"/>
        <w:numPr>
          <w:ilvl w:val="0"/>
          <w:numId w:val="2"/>
        </w:numPr>
        <w:spacing w:after="70" w:line="250"/>
      </w:pPr>
      <w:r>
        <w:rPr>
          <w:rFonts w:ascii="Arial" w:cs="Arial" w:eastAsia="Arial" w:hAnsi="Arial"/>
          <w:sz w:val="19"/>
          <w:szCs w:val="19"/>
        </w:rPr>
        <w:t xml:space="preserve">Confirm PO and line exist, are approved and match the vendor.</w:t>
      </w:r>
    </w:p>
    <w:p>
      <w:pPr>
        <w:pStyle w:val="ListParagraph"/>
        <w:numPr>
          <w:ilvl w:val="0"/>
          <w:numId w:val="2"/>
        </w:numPr>
        <w:spacing w:after="70" w:line="250"/>
      </w:pPr>
      <w:r>
        <w:rPr>
          <w:rFonts w:ascii="Arial" w:cs="Arial" w:eastAsia="Arial" w:hAnsi="Arial"/>
          <w:sz w:val="19"/>
          <w:szCs w:val="19"/>
        </w:rPr>
        <w:t xml:space="preserve">Reconcile invoice quantity to cumulative accepted receipts less prior invoices.</w:t>
      </w:r>
    </w:p>
    <w:p>
      <w:pPr>
        <w:pStyle w:val="ListParagraph"/>
        <w:numPr>
          <w:ilvl w:val="0"/>
          <w:numId w:val="2"/>
        </w:numPr>
        <w:spacing w:after="70" w:line="250"/>
      </w:pPr>
      <w:r>
        <w:rPr>
          <w:rFonts w:ascii="Arial" w:cs="Arial" w:eastAsia="Arial" w:hAnsi="Arial"/>
          <w:sz w:val="19"/>
          <w:szCs w:val="19"/>
        </w:rPr>
        <w:t xml:space="preserve">Apply price tolerance using 2% AND 100 currency units at line level.</w:t>
      </w:r>
    </w:p>
    <w:p>
      <w:pPr>
        <w:pStyle w:val="ListParagraph"/>
        <w:numPr>
          <w:ilvl w:val="0"/>
          <w:numId w:val="2"/>
        </w:numPr>
        <w:spacing w:after="70" w:line="250"/>
      </w:pPr>
      <w:r>
        <w:rPr>
          <w:rFonts w:ascii="Arial" w:cs="Arial" w:eastAsia="Arial" w:hAnsi="Arial"/>
          <w:sz w:val="19"/>
          <w:szCs w:val="19"/>
        </w:rPr>
        <w:t xml:space="preserve">Validate tax, freight, currency and terms separately.</w:t>
      </w:r>
    </w:p>
    <w:p>
      <w:pPr>
        <w:pStyle w:val="ListParagraph"/>
        <w:numPr>
          <w:ilvl w:val="0"/>
          <w:numId w:val="2"/>
        </w:numPr>
        <w:spacing w:after="70" w:line="250"/>
      </w:pPr>
      <w:r>
        <w:rPr>
          <w:rFonts w:ascii="Arial" w:cs="Arial" w:eastAsia="Arial" w:hAnsi="Arial"/>
          <w:sz w:val="19"/>
          <w:szCs w:val="19"/>
        </w:rPr>
        <w:t xml:space="preserve">Complete normalized duplicate search and retain result.</w:t>
      </w:r>
    </w:p>
    <w:p>
      <w:pPr>
        <w:pStyle w:val="ListParagraph"/>
        <w:numPr>
          <w:ilvl w:val="0"/>
          <w:numId w:val="2"/>
        </w:numPr>
        <w:spacing w:after="70" w:line="250"/>
      </w:pPr>
      <w:r>
        <w:rPr>
          <w:rFonts w:ascii="Arial" w:cs="Arial" w:eastAsia="Arial" w:hAnsi="Arial"/>
          <w:sz w:val="19"/>
          <w:szCs w:val="19"/>
        </w:rPr>
        <w:t xml:space="preserve">Reconcile subtotal + tax + freight to total due within 0.02.</w:t>
      </w:r>
    </w:p>
    <w:p>
      <w:pPr>
        <w:pStyle w:val="ListParagraph"/>
        <w:numPr>
          <w:ilvl w:val="0"/>
          <w:numId w:val="2"/>
        </w:numPr>
        <w:spacing w:after="70" w:line="250"/>
      </w:pPr>
      <w:r>
        <w:rPr>
          <w:rFonts w:ascii="Arial" w:cs="Arial" w:eastAsia="Arial" w:hAnsi="Arial"/>
          <w:sz w:val="19"/>
          <w:szCs w:val="19"/>
        </w:rPr>
        <w:t xml:space="preserve">Assign fixed code, owner, action and SLA for every exception.</w:t>
      </w:r>
    </w:p>
    <w:p>
      <w:pPr>
        <w:pStyle w:val="ListParagraph"/>
        <w:numPr>
          <w:ilvl w:val="0"/>
          <w:numId w:val="2"/>
        </w:numPr>
        <w:spacing w:after="70" w:line="250"/>
      </w:pPr>
      <w:r>
        <w:rPr>
          <w:rFonts w:ascii="Arial" w:cs="Arial" w:eastAsia="Arial" w:hAnsi="Arial"/>
          <w:sz w:val="19"/>
          <w:szCs w:val="19"/>
        </w:rPr>
        <w:t xml:space="preserve">Retain evidence and ensure no preparer self-approval.</w:t>
      </w:r>
    </w:p>
    <w:p>
      <w:pPr>
        <w:spacing w:after="110" w:line="265"/>
      </w:pPr>
      <w:r>
        <w:rPr>
          <w:rFonts w:ascii="Arial" w:cs="Arial" w:eastAsia="Arial" w:hAnsi="Arial"/>
          <w:sz w:val="19"/>
          <w:szCs w:val="19"/>
        </w:rPr>
        <w:t xml:space="preserve">Policy certification: a payable may be released only when all required checks are documented and every hold or block is resolved by the authorized owner. Silence, approaching due date or prior payment history is not approval.</w:t>
      </w:r>
    </w:p>
    <w:p>
      <w:pPr>
        <w:pBdr>
          <w:top w:val="single" w:color="B7C7D3" w:sz="1"/>
          <w:bottom w:val="single" w:color="B7C7D3" w:sz="1"/>
        </w:pBdr>
        <w:shd w:fill="EAF3F8" w:val="clear"/>
        <w:spacing w:before="260"/>
        <w:jc w:val="center"/>
      </w:pPr>
      <w:r>
        <w:rPr>
          <w:rFonts w:ascii="Arial" w:cs="Arial" w:eastAsia="Arial" w:hAnsi="Arial"/>
          <w:b/>
          <w:bCs/>
          <w:color w:val="17365D"/>
          <w:sz w:val="20"/>
          <w:szCs w:val="20"/>
        </w:rPr>
        <w:t xml:space="preserve">END OF SYNTHETIC POLICY — DEMO 17</w:t>
      </w:r>
    </w:p>
    <w:sectPr>
      <w:headerReference w:type="default" r:id="rId7"/>
      <w:footerReference w:type="default" r:id="rId8"/>
      <w:pgSz w:w="11906" w:h="16838" w:orient="portrait"/>
      <w:pgMar w:top="1050" w:right="1440" w:bottom="1050" w:left="144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SYNTHETIC DEMO DATA | Internal training use only | 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7" w:space="1"/>
      </w:pBdr>
      <w:tabs>
        <w:tab w:val="right" w:pos="9000"/>
      </w:tabs>
    </w:pPr>
    <w:r>
      <w:rPr>
        <w:rFonts w:ascii="Arial" w:cs="Arial" w:eastAsia="Arial" w:hAnsi="Arial"/>
        <w:b/>
        <w:bCs/>
        <w:color w:val="17365D"/>
        <w:sz w:val="15"/>
        <w:szCs w:val="15"/>
      </w:rPr>
      <w:t xml:space="preserve">ALPINE RIDGE MANUFACTURING GROUP</w:t>
    </w:r>
    <w:r>
      <w:rPr>
        <w:rFonts w:ascii="Arial" w:cs="Arial" w:eastAsia="Arial" w:hAnsi="Arial"/>
        <w:color w:val="666666"/>
        <w:sz w:val="15"/>
        <w:szCs w:val="15"/>
      </w:rPr>
      <w:t xml:space="preserve">	AP-3WM-001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pPr>
        <w:spacing w:after="1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10" w:before="0"/>
      <w:outlineLvl w:val="0"/>
    </w:pPr>
    <w:rPr>
      <w:rFonts w:ascii="Arial" w:cs="Arial" w:eastAsia="Arial" w:hAnsi="Arial"/>
      <w:b/>
      <w:bCs/>
      <w:color w:val="17365D"/>
      <w:sz w:val="31"/>
      <w:szCs w:val="31"/>
    </w:rPr>
  </w:style>
  <w:style w:type="paragraph" w:styleId="Heading2">
    <w:name w:val="Heading 2"/>
    <w:basedOn w:val="Normal"/>
    <w:next w:val="Normal"/>
    <w:qFormat/>
    <w:pPr>
      <w:spacing w:after="100" w:before="150"/>
      <w:outlineLvl w:val="1"/>
    </w:pPr>
    <w:rPr>
      <w:rFonts w:ascii="Arial" w:cs="Arial" w:eastAsia="Arial" w:hAnsi="Arial"/>
      <w:b/>
      <w:bCs/>
      <w:color w:val="2F75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Payable Policy — Procure-to-Pay Three-Way Invoice Matching</dc:title>
  <dc:subject>Demo 17 synthetic AP policy</dc:subject>
  <dc:creator>Synthetic Demo Content Generator</dc:creator>
  <dc:description>Fictional policy for participant-facing Microsoft 365 Copilot demonstration data.</dc:description>
  <cp:lastModifiedBy>Un-named</cp:lastModifiedBy>
  <cp:revision>1</cp:revision>
  <dcterms:created xsi:type="dcterms:W3CDTF">2026-08-14T10:20:49.693Z</dcterms:created>
  <dcterms:modified xsi:type="dcterms:W3CDTF">2026-08-14T10:20:49.694Z</dcterms:modified>
</cp:coreProperties>
</file>

<file path=docProps/custom.xml><?xml version="1.0" encoding="utf-8"?>
<Properties xmlns="http://schemas.openxmlformats.org/officeDocument/2006/custom-properties" xmlns:vt="http://schemas.openxmlformats.org/officeDocument/2006/docPropsVTypes"/>
</file>