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3F7D"/>
        </w:rPr>
        <w:t>Project Northwind - Kickoff Brief</w:t>
      </w:r>
    </w:p>
    <w:p>
      <w:r>
        <w:rPr>
          <w:i/>
          <w:color w:val="606060"/>
          <w:sz w:val="22"/>
        </w:rPr>
        <w:t>Contoso Corporation - Smart Building Solutions - Confidential (mockup data)</w:t>
      </w:r>
    </w:p>
    <w:p>
      <w:pPr>
        <w:pStyle w:val="Heading1"/>
      </w:pPr>
      <w:r>
        <w:rPr>
          <w:color w:val="003F7D"/>
        </w:rPr>
        <w:t>Purpose</w:t>
      </w:r>
    </w:p>
    <w:p>
      <w:r>
        <w:t>Project Northwind launches the Contoso Northwind Sensor Hub 2.0, our next-generation smart-building sensor platform for commercial customers in EMEA, AMER and APAC. This brief is the single source of truth for the kickoff. The goal of the kickoff is to align the core team on scope, owners and the first 90 days.</w:t>
      </w:r>
    </w:p>
    <w:p>
      <w:pPr>
        <w:pStyle w:val="Heading1"/>
      </w:pPr>
      <w:r>
        <w:rPr>
          <w:color w:val="003F7D"/>
        </w:rPr>
        <w:t>Objectives</w:t>
      </w:r>
    </w:p>
    <w:p>
      <w:pPr>
        <w:pStyle w:val="ListBullet"/>
      </w:pPr>
      <w:r>
        <w:t>Ship a production-ready Sensor Hub 2.0 with the new low-power gateway by Q4 FY26.</w:t>
      </w:r>
    </w:p>
    <w:p>
      <w:pPr>
        <w:pStyle w:val="ListBullet"/>
      </w:pPr>
      <w:r>
        <w:t>Onboard three lighthouse customers (Fabrikam, Adventure Works, Wingtip) during the pilot.</w:t>
      </w:r>
    </w:p>
    <w:p>
      <w:pPr>
        <w:pStyle w:val="ListBullet"/>
      </w:pPr>
      <w:r>
        <w:t>Reduce device setup time from 40 minutes to under 10 minutes.</w:t>
      </w:r>
    </w:p>
    <w:p>
      <w:pPr>
        <w:pStyle w:val="ListBullet"/>
      </w:pPr>
      <w:r>
        <w:t>Reach 99.9% gateway uptime across the pilot fleet.</w:t>
      </w:r>
    </w:p>
    <w:p>
      <w:pPr>
        <w:pStyle w:val="Heading1"/>
      </w:pPr>
      <w:r>
        <w:rPr>
          <w:color w:val="003F7D"/>
        </w:rPr>
        <w:t>Scope</w:t>
      </w:r>
    </w:p>
    <w:p>
      <w:r>
        <w:t>In scope:</w:t>
      </w:r>
    </w:p>
    <w:p>
      <w:pPr>
        <w:pStyle w:val="ListBullet"/>
      </w:pPr>
      <w:r>
        <w:t>Sensor Hub 2.0 hardware</w:t>
      </w:r>
    </w:p>
    <w:p>
      <w:pPr>
        <w:pStyle w:val="ListBullet"/>
      </w:pPr>
      <w:r>
        <w:t>Low-power gateway</w:t>
      </w:r>
    </w:p>
    <w:p>
      <w:pPr>
        <w:pStyle w:val="ListBullet"/>
      </w:pPr>
      <w:r>
        <w:t>Cloud Portal onboarding flow</w:t>
      </w:r>
    </w:p>
    <w:p>
      <w:pPr>
        <w:pStyle w:val="ListBullet"/>
      </w:pPr>
      <w:r>
        <w:t>Pilot with 3 customers</w:t>
      </w:r>
    </w:p>
    <w:p>
      <w:r>
        <w:t>Out of scope for this phase:</w:t>
      </w:r>
    </w:p>
    <w:p>
      <w:pPr>
        <w:pStyle w:val="ListBullet"/>
      </w:pPr>
      <w:r>
        <w:t>Retail channel launch</w:t>
      </w:r>
    </w:p>
    <w:p>
      <w:pPr>
        <w:pStyle w:val="ListBullet"/>
      </w:pPr>
      <w:r>
        <w:t>Non-English portal localization</w:t>
      </w:r>
    </w:p>
    <w:p>
      <w:pPr>
        <w:pStyle w:val="ListBullet"/>
      </w:pPr>
      <w:r>
        <w:t>Legacy C-Series migration</w:t>
      </w:r>
    </w:p>
    <w:p>
      <w:pPr>
        <w:pStyle w:val="Heading1"/>
      </w:pPr>
      <w:r>
        <w:rPr>
          <w:color w:val="003F7D"/>
        </w:rPr>
        <w:t>Core team and stakeholders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Role</w:t>
            </w:r>
          </w:p>
        </w:tc>
        <w:tc>
          <w:tcPr>
            <w:tcW w:type="dxa" w:w="2880"/>
          </w:tcPr>
          <w:p>
            <w:r>
              <w:t>Responsibility</w:t>
            </w:r>
          </w:p>
        </w:tc>
      </w:tr>
      <w:tr>
        <w:tc>
          <w:tcPr>
            <w:tcW w:type="dxa" w:w="2880"/>
          </w:tcPr>
          <w:p>
            <w:r>
              <w:t>Megan Bowen</w:t>
            </w:r>
          </w:p>
        </w:tc>
        <w:tc>
          <w:tcPr>
            <w:tcW w:type="dxa" w:w="2880"/>
          </w:tcPr>
          <w:p>
            <w:r>
              <w:t>Program lead</w:t>
            </w:r>
          </w:p>
        </w:tc>
        <w:tc>
          <w:tcPr>
            <w:tcW w:type="dxa" w:w="2880"/>
          </w:tcPr>
          <w:p>
            <w:r>
              <w:t>Overall delivery and stakeholder comms</w:t>
            </w:r>
          </w:p>
        </w:tc>
      </w:tr>
      <w:tr>
        <w:tc>
          <w:tcPr>
            <w:tcW w:type="dxa" w:w="2880"/>
          </w:tcPr>
          <w:p>
            <w:r>
              <w:t>Adele Vance</w:t>
            </w:r>
          </w:p>
        </w:tc>
        <w:tc>
          <w:tcPr>
            <w:tcW w:type="dxa" w:w="2880"/>
          </w:tcPr>
          <w:p>
            <w:r>
              <w:t>Engineering lead</w:t>
            </w:r>
          </w:p>
        </w:tc>
        <w:tc>
          <w:tcPr>
            <w:tcW w:type="dxa" w:w="2880"/>
          </w:tcPr>
          <w:p>
            <w:r>
              <w:t>Sensor and gateway integration</w:t>
            </w:r>
          </w:p>
        </w:tc>
      </w:tr>
      <w:tr>
        <w:tc>
          <w:tcPr>
            <w:tcW w:type="dxa" w:w="2880"/>
          </w:tcPr>
          <w:p>
            <w:r>
              <w:t>Nestor Wilke</w:t>
            </w:r>
          </w:p>
        </w:tc>
        <w:tc>
          <w:tcPr>
            <w:tcW w:type="dxa" w:w="2880"/>
          </w:tcPr>
          <w:p>
            <w:r>
              <w:t>Operations</w:t>
            </w:r>
          </w:p>
        </w:tc>
        <w:tc>
          <w:tcPr>
            <w:tcW w:type="dxa" w:w="2880"/>
          </w:tcPr>
          <w:p>
            <w:r>
              <w:t>Manufacturing readiness and supply</w:t>
            </w:r>
          </w:p>
        </w:tc>
      </w:tr>
      <w:tr>
        <w:tc>
          <w:tcPr>
            <w:tcW w:type="dxa" w:w="2880"/>
          </w:tcPr>
          <w:p>
            <w:r>
              <w:t>Patti Fernandez</w:t>
            </w:r>
          </w:p>
        </w:tc>
        <w:tc>
          <w:tcPr>
            <w:tcW w:type="dxa" w:w="2880"/>
          </w:tcPr>
          <w:p>
            <w:r>
              <w:t>Finance</w:t>
            </w:r>
          </w:p>
        </w:tc>
        <w:tc>
          <w:tcPr>
            <w:tcW w:type="dxa" w:w="2880"/>
          </w:tcPr>
          <w:p>
            <w:r>
              <w:t>Budget approval and business case</w:t>
            </w:r>
          </w:p>
        </w:tc>
      </w:tr>
      <w:tr>
        <w:tc>
          <w:tcPr>
            <w:tcW w:type="dxa" w:w="2880"/>
          </w:tcPr>
          <w:p>
            <w:r>
              <w:t>Alex Wilber</w:t>
            </w:r>
          </w:p>
        </w:tc>
        <w:tc>
          <w:tcPr>
            <w:tcW w:type="dxa" w:w="2880"/>
          </w:tcPr>
          <w:p>
            <w:r>
              <w:t>Customer success</w:t>
            </w:r>
          </w:p>
        </w:tc>
        <w:tc>
          <w:tcPr>
            <w:tcW w:type="dxa" w:w="2880"/>
          </w:tcPr>
          <w:p>
            <w:r>
              <w:t>Pilot customer onboarding</w:t>
            </w:r>
          </w:p>
        </w:tc>
      </w:tr>
      <w:tr>
        <w:tc>
          <w:tcPr>
            <w:tcW w:type="dxa" w:w="2880"/>
          </w:tcPr>
          <w:p>
            <w:r>
              <w:t>Lidia Holloway</w:t>
            </w:r>
          </w:p>
        </w:tc>
        <w:tc>
          <w:tcPr>
            <w:tcW w:type="dxa" w:w="2880"/>
          </w:tcPr>
          <w:p>
            <w:r>
              <w:t>Product</w:t>
            </w:r>
          </w:p>
        </w:tc>
        <w:tc>
          <w:tcPr>
            <w:tcW w:type="dxa" w:w="2880"/>
          </w:tcPr>
          <w:p>
            <w:r>
              <w:t>Cloud Portal experience</w:t>
            </w:r>
          </w:p>
        </w:tc>
      </w:tr>
    </w:tbl>
    <w:p>
      <w:pPr>
        <w:pStyle w:val="Heading1"/>
      </w:pPr>
      <w:r>
        <w:rPr>
          <w:color w:val="003F7D"/>
        </w:rPr>
        <w:t>Timeline and milestones</w:t>
      </w:r>
    </w:p>
    <w:p>
      <w:pPr>
        <w:pStyle w:val="ListBullet"/>
      </w:pPr>
      <w:r>
        <w:t>Week 1: Kickoff and scope lock</w:t>
      </w:r>
    </w:p>
    <w:p>
      <w:pPr>
        <w:pStyle w:val="ListBullet"/>
      </w:pPr>
      <w:r>
        <w:t>Week 3: Design review and budget sign-off</w:t>
      </w:r>
    </w:p>
    <w:p>
      <w:pPr>
        <w:pStyle w:val="ListBullet"/>
      </w:pPr>
      <w:r>
        <w:t>Week 6: Engineering build complete</w:t>
      </w:r>
    </w:p>
    <w:p>
      <w:pPr>
        <w:pStyle w:val="ListBullet"/>
      </w:pPr>
      <w:r>
        <w:t>Week 9: Pilot onboarding with 3 customers</w:t>
      </w:r>
    </w:p>
    <w:p>
      <w:pPr>
        <w:pStyle w:val="ListBullet"/>
      </w:pPr>
      <w:r>
        <w:t>Week 12: Go / no-go for general availability</w:t>
      </w:r>
    </w:p>
    <w:p>
      <w:pPr>
        <w:pStyle w:val="Heading1"/>
      </w:pPr>
      <w:r>
        <w:rPr>
          <w:color w:val="003F7D"/>
        </w:rPr>
        <w:t>Known risks</w:t>
      </w:r>
    </w:p>
    <w:p>
      <w:pPr>
        <w:pStyle w:val="ListBullet"/>
      </w:pPr>
      <w:r>
        <w:t>Supplier lead time for the low-power gateway chip is 8 weeks.</w:t>
      </w:r>
    </w:p>
    <w:p>
      <w:pPr>
        <w:pStyle w:val="ListBullet"/>
      </w:pPr>
      <w:r>
        <w:t>Budget not yet approved; blocks hardware order.</w:t>
      </w:r>
    </w:p>
    <w:p>
      <w:pPr>
        <w:pStyle w:val="ListBullet"/>
      </w:pPr>
      <w:r>
        <w:t>Firmware 2.3 field issues must be resolved before 2.4 pilot.</w:t>
      </w:r>
    </w:p>
    <w:p>
      <w:pPr>
        <w:pStyle w:val="ListBullet"/>
      </w:pPr>
      <w:r>
        <w:t>Pilot customers need clear expectations on support SLAs.</w:t>
      </w:r>
    </w:p>
    <w:p>
      <w:pPr>
        <w:pStyle w:val="Heading1"/>
      </w:pPr>
      <w:r>
        <w:rPr>
          <w:color w:val="003F7D"/>
        </w:rPr>
        <w:t>Success metrics</w:t>
      </w:r>
    </w:p>
    <w:p>
      <w:pPr>
        <w:pStyle w:val="ListBullet"/>
      </w:pPr>
      <w:r>
        <w:t>3 pilot customers live by week 9</w:t>
      </w:r>
    </w:p>
    <w:p>
      <w:pPr>
        <w:pStyle w:val="ListBullet"/>
      </w:pPr>
      <w:r>
        <w:t>Setup time under 10 minutes</w:t>
      </w:r>
    </w:p>
    <w:p>
      <w:pPr>
        <w:pStyle w:val="ListBullet"/>
      </w:pPr>
      <w:r>
        <w:t>Gateway uptime at or above 99.9%</w:t>
      </w:r>
    </w:p>
    <w:p>
      <w:pPr>
        <w:pStyle w:val="ListBullet"/>
      </w:pPr>
      <w:r>
        <w:t>Zero Sev1 incidents in the last two pilot weeks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