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Rush Order Business Context</w:t>
      </w:r>
    </w:p>
    <w:p>
      <w:r>
        <w:t>Zava is preparing a smart launch shirt campaign for enterprise event customers. The product includes optional NFC activation, custom packaging, and regional compliance labels.</w:t>
      </w:r>
    </w:p>
    <w:p>
      <w:r>
        <w:t>The urgent request is for 20,000 smart launch shirts within 14 days. The customer wants a confident commitment today, but Zava must validate inventory, size/color constraints, NFC activation capacity, freight availability, margin guardrails, and legal terms.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Zoe Keller, COO, final decision owner</w:t>
      </w:r>
    </w:p>
    <w:p>
      <w:pPr>
        <w:pStyle w:val="ListBullet"/>
      </w:pPr>
      <w:r>
        <w:t>Maya Patel, Sales Operations, order triage and customer response</w:t>
      </w:r>
    </w:p>
    <w:p>
      <w:pPr>
        <w:pStyle w:val="ListBullet"/>
      </w:pPr>
      <w:r>
        <w:t>Omar Haddad, Supply Chain, fulfillment and freight feasibility</w:t>
      </w:r>
    </w:p>
    <w:p>
      <w:pPr>
        <w:pStyle w:val="ListBullet"/>
      </w:pPr>
      <w:r>
        <w:t>Lena Bauer, Finance, price floor and margin protection</w:t>
      </w:r>
    </w:p>
    <w:p>
      <w:pPr>
        <w:pStyle w:val="ListBullet"/>
      </w:pPr>
      <w:r>
        <w:t>Rafael Chen, AI Admin, agent governance and Agent 365 review</w:t>
      </w:r>
    </w:p>
    <w:p>
      <w:pPr>
        <w:pStyle w:val="Heading1"/>
      </w:pPr>
      <w:r>
        <w:t>Decision rule</w:t>
      </w:r>
    </w:p>
    <w:p>
      <w:pPr>
        <w:pStyle w:val="ListBullet"/>
      </w:pPr>
      <w:r>
        <w:t>Zava can make a conditional commitment only if capacity, NFC activation, Singapore freight, and price floor pass by 17:00.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