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Group AI Strategy — Draft Brief (please rewrite!)</w:t>
      </w:r>
    </w:p>
    <w:p>
      <w:r>
        <w:t>Background: The board has asked for a clear point of view on AI by Q3. We've been talking about it for a while, our IT team has built an internal GPT, but we don't yet have a coherent group-wide narrative for what AI means for the business, our brands, and our customers. The energy-transition story is the strategic anchor — AI needs to fit inside it, not next to it.</w:t>
      </w:r>
    </w:p>
    <w:p>
      <w:r>
        <w:t>Scope: Group-wide framing, not a tool list. The brief should address: what AI changes for our customers, what it changes for our 16,000 employees, what it changes for the pace of our R&amp;D and our digital-services revenue line. Three time horizons: the next 12 months (foundations), the next 36 months (scale), and the multi-year vision.</w:t>
      </w:r>
    </w:p>
    <w:p>
      <w:r>
        <w:t>Areas to address: customer experience across our eight brands, partner &amp; installer enablement, R&amp;D acceleration, manufacturing reliability, regulatory &amp; sustainability reporting, and how AI helps us communicate the energy-transition story externally. Also — honestly — where AI is a distraction and where it isn't.</w:t>
      </w:r>
    </w:p>
    <w:p>
      <w:r>
        <w:t>Constraints: 16k employees across 60+ countries means rollout needs a language and compliance plan. Works-council engagement is non-trivial in Germany. Brand consistency across the portfolio matters. Data residency requirements differ by country. We don't want every brand running its own AI experiment in isolation.</w:t>
      </w:r>
    </w:p>
    <w:p>
      <w:r>
        <w:t>Risks: too slow and we lose the narrative to competitors who are louder; too fast and we damage trust with our partners, our customers, and our employees. Cost is manageable but not free. We don't yet have a unified governance model.</w:t>
      </w:r>
    </w:p>
    <w:p>
      <w:r>
        <w:t>Open decisions: who owns this group-wide? what's the relationship between our internal GPT and a Microsoft-platform-based approach? how do we sequence brand rollouts? what's the first measurable success metric the board will see in six months?</w:t>
      </w:r>
    </w:p>
    <w:p>
      <w:r>
        <w:t>Apologies for the rough shape — please turn this into something I can take to the executive committee. Add a recommendation. Make it sound like we know what we're doing.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