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FFFFF"/>
          <w:sz w:val="22"/>
        </w:rPr>
        <w:t>FICTIONAL MOCK DATA — NOT AN ACTUAL MERCEDES-BENZ PROCESS</w:t>
      </w:r>
    </w:p>
    <w:p>
      <w:pPr>
        <w:pStyle w:val="Title"/>
      </w:pPr>
      <w:r>
        <w:t>Executive Transformation Priorities</w:t>
      </w:r>
    </w:p>
    <w:p>
      <w:r>
        <w:rPr>
          <w:i/>
          <w:color w:val="666666"/>
        </w:rPr>
        <w:t>Public context plus a fictional steering note for the Mercedes-Benz HR Copilot Cowork live demo. Checked 8 September 2026.</w:t>
      </w:r>
    </w:p>
    <w:p>
      <w:pPr>
        <w:pStyle w:val="Heading1"/>
      </w:pPr>
      <w:r>
        <w:t>Purpose and source boundary</w:t>
      </w:r>
    </w:p>
    <w:p>
      <w:r>
        <w:t>This document is not an internal Mercedes-Benz policy or procedure. It uses official public Mercedes-Benz statements only as strategic context; every priority, threshold, workflow, owner, and date below is synthetic demo content.</w:t>
      </w:r>
    </w:p>
    <w:p>
      <w:pPr>
        <w:pStyle w:val="Heading1"/>
      </w:pPr>
      <w:r>
        <w:t>Official public context</w:t>
      </w:r>
    </w:p>
    <w:p>
      <w:pPr>
        <w:pStyle w:val="ListBullet"/>
      </w:pPr>
      <w:r>
        <w:t>Mercedes-Benz publicly describes continuous qualification and lifelong learning as important to transformation and future skills.</w:t>
      </w:r>
    </w:p>
    <w:p>
      <w:pPr>
        <w:pStyle w:val="ListBullet"/>
      </w:pPr>
      <w:r>
        <w:t>Mercedes-Benz reports a planned investment of more than €2 billion in employee qualification from 2022 through 2030 and reported 2.5 million training hours in 2024.</w:t>
      </w:r>
    </w:p>
    <w:p>
      <w:pPr>
        <w:pStyle w:val="ListBullet"/>
      </w:pPr>
      <w:r>
        <w:t>Mercedes-Benz publicly describes a Sustainable People Plan and a focus on preparing employees and leaders for transformation.</w:t>
      </w:r>
    </w:p>
    <w:p>
      <w:r>
        <w:t>Official sources: https://group.mercedes-benz.com/sustainability/people/ | https://group.mercedes-benz.com/sustainability/people/learning/ | https://group.mercedes-benz.com/careers/about-us/work-culture/learning/professional-and-personal-development.html</w:t>
      </w:r>
    </w:p>
    <w:p>
      <w:pPr>
        <w:pStyle w:val="Heading1"/>
      </w:pPr>
      <w:r>
        <w:t>Fictional executive outcome</w:t>
      </w:r>
    </w:p>
    <w:p>
      <w:r>
        <w:t>Convert aggregate qualification and engagement evidence into a controlled six-week Qualification Sprint, then reuse the operating model for a fictional new-hire cohort. The objective is faster coordination and clearer ownership—not automated people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Decision requested</w:t>
            </w:r>
          </w:p>
        </w:tc>
        <w:tc>
          <w:tcPr>
            <w:tcW w:type="dxa" w:w="3289"/>
            <w:shd w:fill="0078D4" w:val="clear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Success evidence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1. Close critical qualification gaps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Launch a six-week sprint for AI-enabled engineering tools and digital manufacturing/quality.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Role-based curriculum, aggregate participation, manager enablement, weekly evidence.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2. Improve manager readiness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Create a concise manager briefing, FAQ, escalation path, and weekly checkpoint.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Manager materials published; blockers handled through named operational owners.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3. Standardize cohort onboarding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Apply role-based learning, manager actions, and facilitator calendars to the 21 September mock cohort.</w:t>
            </w:r>
          </w:p>
        </w:tc>
        <w:tc>
          <w:tcPr>
            <w:tcW w:type="dxa" w:w="3289"/>
            <w:vAlign w:val="top"/>
          </w:tcPr>
          <w:p>
            <w:r>
              <w:rPr>
                <w:rFonts w:ascii="Arial" w:hAnsi="Arial"/>
                <w:sz w:val="17"/>
              </w:rPr>
              <w:t>Plan, checklist, personalized drafts, facilitator holds, and privacy-minimized communication.</w:t>
            </w:r>
          </w:p>
        </w:tc>
      </w:tr>
    </w:tbl>
    <w:p>
      <w:pPr>
        <w:pStyle w:val="Heading1"/>
      </w:pPr>
      <w:r>
        <w:t>Decision and evidence rules</w:t>
      </w:r>
    </w:p>
    <w:p>
      <w:pPr>
        <w:pStyle w:val="ListBullet"/>
      </w:pPr>
      <w:r>
        <w:t>Use only aggregate workforce data; minimum reporting group size is 25.</w:t>
      </w:r>
    </w:p>
    <w:p>
      <w:pPr>
        <w:pStyle w:val="ListBullet"/>
      </w:pPr>
      <w:r>
        <w:t>Flag a qualification area when the completion gap to target is 10 percentage points or more.</w:t>
      </w:r>
    </w:p>
    <w:p>
      <w:pPr>
        <w:pStyle w:val="ListBullet"/>
      </w:pPr>
      <w:r>
        <w:t>Treat engagement and manager-readiness signals as planning inputs, never as individual evaluations.</w:t>
      </w:r>
    </w:p>
    <w:p>
      <w:pPr>
        <w:pStyle w:val="ListBullet"/>
      </w:pPr>
      <w:r>
        <w:t>Do not rank or score candidates or employees, predict individual attrition, infer health, recommend discipline, or make employment decisions.</w:t>
      </w:r>
    </w:p>
    <w:p>
      <w:pPr>
        <w:pStyle w:val="ListBullet"/>
      </w:pPr>
      <w:r>
        <w:t>Email, Teams, and calendar actions must remain drafts until a person reviews the preview and explicitly approves the action.</w:t>
      </w:r>
    </w:p>
    <w:p>
      <w:pPr>
        <w:pStyle w:val="Heading1"/>
      </w:pPr>
      <w:r>
        <w:t>Requested 30-day follow-through</w:t>
      </w:r>
    </w:p>
    <w:p>
      <w:pPr>
        <w:pStyle w:val="ListBullet"/>
      </w:pPr>
      <w:r>
        <w:t>Approve the sprint scope and accountable roles.</w:t>
      </w:r>
    </w:p>
    <w:p>
      <w:pPr>
        <w:pStyle w:val="ListBullet"/>
      </w:pPr>
      <w:r>
        <w:t>Confirm the first manager checkpoint.</w:t>
      </w:r>
    </w:p>
    <w:p>
      <w:pPr>
        <w:pStyle w:val="ListBullet"/>
      </w:pPr>
      <w:r>
        <w:t>Review aggregate progress after two weeks.</w:t>
      </w:r>
    </w:p>
    <w:p>
      <w:pPr>
        <w:pStyle w:val="ListBullet"/>
      </w:pPr>
      <w:r>
        <w:t>Keep exceptions and employment decisions with accountable HR leaders.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0C0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8D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B0C0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