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FIEGE Logistics — Q1 2026 Operations Review</w:t>
      </w:r>
    </w:p>
    <w:p>
      <w:r>
        <w:t>DRAFT — For Internal Review Only</w:t>
      </w:r>
    </w:p>
    <w:p/>
    <w:p>
      <w:pPr>
        <w:pStyle w:val="Heading2"/>
      </w:pPr>
      <w:r>
        <w:t>Executive Summary</w:t>
      </w:r>
    </w:p>
    <w:p>
      <w:r>
        <w:t>This document summarizes FIEGE Logistics operational performance for Q1 2026 across our 12 active warehouse sites in Germany. Overall throughput reached 847,000 units with an average on-time delivery rate of 94.2% against our 95% target.</w:t>
      </w:r>
    </w:p>
    <w:p/>
    <w:p>
      <w:pPr>
        <w:pStyle w:val="Heading2"/>
      </w:pPr>
      <w:r>
        <w:t>Performance Highlights</w:t>
      </w:r>
    </w:p>
    <w:p>
      <w:r>
        <w:t>Total units shipped: 847,000 across 12 sites</w:t>
      </w:r>
    </w:p>
    <w:p>
      <w:r>
        <w:t>Average on-time delivery: 94.2% (target: 95%)</w:t>
      </w:r>
    </w:p>
    <w:p>
      <w:r>
        <w:t>Top performing site: Ibbenbüren at 97.3% OTD</w:t>
      </w:r>
    </w:p>
    <w:p>
      <w:r>
        <w:t>Underperforming site: Greven at 89.1% OTD (night shift staffing gap)</w:t>
      </w:r>
    </w:p>
    <w:p>
      <w:r>
        <w:t>Transport cost per unit: EUR 1.42 (up 3% from Q4 due to fuel surcharge)</w:t>
      </w:r>
    </w:p>
    <w:p/>
    <w:p>
      <w:pPr>
        <w:pStyle w:val="Heading2"/>
      </w:pPr>
      <w:r>
        <w:t>Open Issues</w:t>
      </w:r>
    </w:p>
    <w:p>
      <w:r>
        <w:t>1. Greven site consistently below SLA target for 2 consecutive months — staffing gap in night shift operations needs immediate resolution.</w:t>
      </w:r>
    </w:p>
    <w:p>
      <w:r>
        <w:t>2. Carrier TransEuropa Logistics missed SLA for third consecutive month — 78% OTD vs. 95% target. Formal escalation initiated.</w:t>
      </w:r>
    </w:p>
    <w:p>
      <w:r>
        <w:t>3. Client escalations open: Zalando delayed pick-up (Emmerich), Hugo Boss label mismatch (Hamburg), DocMorris temperature exceedance (Marktredwitz).</w:t>
      </w:r>
    </w:p>
    <w:p/>
    <w:p>
      <w:pPr>
        <w:pStyle w:val="Heading2"/>
      </w:pPr>
      <w:r>
        <w:t>Recommendations for Q2</w:t>
      </w:r>
    </w:p>
    <w:p>
      <w:r>
        <w:t>The operations team recommends the following actions for Q2 2026:</w:t>
      </w:r>
    </w:p>
    <w:p>
      <w:r>
        <w:t>- Hire 12 additional night shift workers for Greven site to close staffing gap</w:t>
      </w:r>
    </w:p>
    <w:p>
      <w:r>
        <w:t>- Initiate carrier review process for TransEuropa Logistics with 5-day deadline for corrective action plan</w:t>
      </w:r>
    </w:p>
    <w:p>
      <w:r>
        <w:t>- Implement automated temperature monitoring alerts for healthcare logistics clients</w:t>
      </w:r>
    </w:p>
    <w:p>
      <w:r>
        <w:t>- Begin Mytheresa onboarding at Ibbenbüren site (target: May 1)</w:t>
      </w:r>
    </w:p>
    <w:p/>
    <w:p>
      <w:pPr>
        <w:pStyle w:val="Heading2"/>
      </w:pPr>
      <w:r>
        <w:t>Next Steps</w:t>
      </w:r>
    </w:p>
    <w:p>
      <w:r>
        <w:t>- Weekly ops review: April 16, 2026 (Greven HQ / Teams)</w:t>
      </w:r>
    </w:p>
    <w:p>
      <w:r>
        <w:t>- Carrier escalation review: TBD this week</w:t>
      </w:r>
    </w:p>
    <w:p>
      <w:r>
        <w:t>- Q2 planning session: April 28, 2026</w:t>
      </w:r>
    </w:p>
    <w:p/>
    <w:p>
      <w:r>
        <w:t>Document owner: Lisa Taylor, Head of Operations</w:t>
      </w:r>
    </w:p>
    <w:p>
      <w:r>
        <w:t>Last updated: April 14,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