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F7D"/>
        </w:rPr>
        <w:t>Zava HR Leave &amp; PTO Policy</w:t>
      </w:r>
    </w:p>
    <w:p>
      <w:r>
        <w:rPr>
          <w:i/>
          <w:sz w:val="22"/>
        </w:rPr>
        <w:t>Vacation, sick leave, and parental leave</w:t>
      </w:r>
    </w:p>
    <w:p>
      <w:r>
        <w:rPr>
          <w:color w:val="888888"/>
          <w:sz w:val="17"/>
        </w:rPr>
        <w:t>Zava People &amp; Operations  ·  POL-HR-003  ·  Effective 1 June 2026  ·  Version 3.2</w:t>
      </w:r>
    </w:p>
    <w:p/>
    <w:p>
      <w:pPr>
        <w:pStyle w:val="Heading1"/>
      </w:pPr>
      <w:r>
        <w:rPr>
          <w:color w:val="003F7D"/>
        </w:rPr>
        <w:t>1.  Annual leave (vacation)</w:t>
      </w:r>
    </w:p>
    <w:p>
      <w:r>
        <w:t>Permanent employees receive 30 days of paid annual leave per calendar year, accrued monthly. Up to 5 unused days may be carried into the next year and must be used by 31 March.</w:t>
      </w:r>
    </w:p>
    <w:p>
      <w:r>
        <w:t>Request leave through the leave tool at least two weeks in advance for periods longer than three days. Your manager approves; the Employee Service Desk agent can open the request for you.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Leave type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Entitlement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Annual leave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30 days / year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Carry-over max 5 days, expires 31 March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Sick leave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Paid, no fixed cap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Doctor's note from day 3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Parental leave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Per statutory + 8 weeks full pay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Notify People Ops 8 weeks ahead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Compassionate leave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Up to 5 days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Immediate family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Sabbatical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Up to 3 months unpaid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After 4 years of service</w:t>
            </w:r>
          </w:p>
        </w:tc>
      </w:tr>
    </w:tbl>
    <w:p/>
    <w:p>
      <w:pPr>
        <w:pStyle w:val="Heading1"/>
      </w:pPr>
      <w:r>
        <w:rPr>
          <w:color w:val="003F7D"/>
        </w:rPr>
        <w:t>2.  Sick leave</w:t>
      </w:r>
    </w:p>
    <w:p>
      <w:r>
        <w:t>Notify your manager as early as possible on the first day of absence. A doctor's note is required from the third consecutive day.</w:t>
      </w:r>
    </w:p>
    <w:p/>
    <w:p>
      <w:r>
        <w:rPr>
          <w:i/>
          <w:color w:val="888888"/>
          <w:sz w:val="16"/>
        </w:rPr>
        <w:t>This document is part of the Zava policy library and is the authoritative source for the Zava Policy Navigator agent. Questions: ask the Policy Navigator or contact People &amp; Operations.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