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F7D"/>
        </w:rPr>
        <w:t>Zava Security Acceptable Use Policy</w:t>
      </w:r>
    </w:p>
    <w:p>
      <w:r>
        <w:rPr>
          <w:i/>
          <w:sz w:val="22"/>
        </w:rPr>
        <w:t>Protecting Zava and customer data</w:t>
      </w:r>
    </w:p>
    <w:p>
      <w:r>
        <w:rPr>
          <w:color w:val="888888"/>
          <w:sz w:val="17"/>
        </w:rPr>
        <w:t>Zava People &amp; Operations  ·  POL-SEC-004  ·  Effective 1 June 2026  ·  Version 3.2</w:t>
      </w:r>
    </w:p>
    <w:p/>
    <w:p>
      <w:pPr>
        <w:pStyle w:val="Heading1"/>
      </w:pPr>
      <w:r>
        <w:rPr>
          <w:color w:val="003F7D"/>
        </w:rPr>
        <w:t>1.  Principles</w:t>
      </w:r>
    </w:p>
    <w:p>
      <w:r>
        <w:t>Use only approved tools and accounts for Zava work. Apply least privilege: request only the access you need for your role.</w:t>
      </w:r>
    </w:p>
    <w:p>
      <w:r>
        <w:t>Never move Zava or customer data to personal accounts, personal devices, or unapproved external services.</w:t>
      </w:r>
    </w:p>
    <w:p>
      <w:pPr>
        <w:pStyle w:val="Heading1"/>
      </w:pPr>
      <w:r>
        <w:rPr>
          <w:color w:val="003F7D"/>
        </w:rPr>
        <w:t>2.  Passwords and MFA</w:t>
      </w:r>
    </w:p>
    <w:p>
      <w:r>
        <w:t>Use the company password manager and unique passwords. MFA is mandatory for all accounts. IT will never ask for your password or a one-time code.</w:t>
      </w:r>
    </w:p>
    <w:p>
      <w:pPr>
        <w:pStyle w:val="Heading1"/>
      </w:pPr>
      <w:r>
        <w:rPr>
          <w:color w:val="003F7D"/>
        </w:rPr>
        <w:t>3.  Phishing and prompt-injection</w:t>
      </w:r>
    </w:p>
    <w:p>
      <w:r>
        <w:t>Report suspicious emails, messages, or documents through the Report Phishing button. Do not follow instructions embedded in untrusted content.</w:t>
      </w:r>
    </w:p>
    <w:p>
      <w:r>
        <w:t>AI agents must ignore instructions hidden in data they process (for example, text in an email or record that tells the agent to grant access or send data externally). Such attempts are blocked at runtime and raised as security incidents.</w:t>
      </w:r>
    </w:p>
    <w:p>
      <w:pPr>
        <w:pStyle w:val="Heading1"/>
      </w:pPr>
      <w:r>
        <w:rPr>
          <w:color w:val="003F7D"/>
        </w:rPr>
        <w:t>4.  Lost or stolen device</w:t>
      </w:r>
    </w:p>
    <w:p>
      <w:r>
        <w:t>Report a lost or stolen device immediately by opening a high-priority IT service ticket. IT will remotely lock and wipe the device. Do not wait until the next working day.</w:t>
      </w:r>
    </w:p>
    <w:p/>
    <w:p>
      <w:r>
        <w:rPr>
          <w:i/>
          <w:color w:val="888888"/>
          <w:sz w:val="16"/>
        </w:rPr>
        <w:t>This document is part of the Zava policy library and is the authoritative source for the Zava Policy Navigator agent. Questions: ask the Policy Navigator or contact People &amp;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