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Q2 Supply Chain Performance Report — DHL</w:t>
      </w:r>
    </w:p>
    <w:p>
      <w:pPr>
        <w:pStyle w:val="Heading2"/>
      </w:pPr>
      <w:r>
        <w:t>Executive Summary</w:t>
      </w:r>
    </w:p>
    <w:p>
      <w:r>
        <w:t>During Q2 2026, DHL Supply Chain division processed 1.51 million shipments across six major regions, achieving a 94.3% on-time delivery rate. While North America and APAC regions exceeded expectations, Latin America and Africa regions require immediate attention to meet compliance targets. Key cost pressures emerged from fuel surcharges and carrier capacity constraints.</w:t>
      </w:r>
    </w:p>
    <w:p>
      <w:r>
        <w:t>Key Metrics:</w:t>
      </w:r>
    </w:p>
    <w:p>
      <w:pPr>
        <w:pStyle w:val="ListBullet"/>
      </w:pPr>
      <w:r>
        <w:t>Total Shipments: 1,511,000</w:t>
      </w:r>
    </w:p>
    <w:p>
      <w:pPr>
        <w:pStyle w:val="ListBullet"/>
      </w:pPr>
      <w:r>
        <w:t>On-Time Delivery: 94.3% (Target: 98%)</w:t>
      </w:r>
    </w:p>
    <w:p>
      <w:pPr>
        <w:pStyle w:val="ListBullet"/>
      </w:pPr>
      <w:r>
        <w:t>Average Cost/Unit: $20.34</w:t>
      </w:r>
    </w:p>
    <w:p>
      <w:pPr>
        <w:pStyle w:val="ListBullet"/>
      </w:pPr>
      <w:r>
        <w:t>Total Volume: 410,400 kg</w:t>
      </w:r>
    </w:p>
    <w:p>
      <w:pPr>
        <w:pStyle w:val="Heading2"/>
      </w:pPr>
      <w:r>
        <w:t>Regional Performance Breakdown</w:t>
      </w:r>
    </w:p>
    <w:p>
      <w:pPr>
        <w:pStyle w:val="Heading3"/>
      </w:pPr>
      <w:r>
        <w:t>North America (Best Performer)</w:t>
      </w:r>
    </w:p>
    <w:p>
      <w:pPr>
        <w:pStyle w:val="ListBullet"/>
      </w:pPr>
      <w:r>
        <w:t>Shipments: 485,000</w:t>
      </w:r>
    </w:p>
    <w:p>
      <w:pPr>
        <w:pStyle w:val="ListBullet"/>
      </w:pPr>
      <w:r>
        <w:t>On-Time %: 96.2% ✅</w:t>
      </w:r>
    </w:p>
    <w:p>
      <w:pPr>
        <w:pStyle w:val="ListBullet"/>
      </w:pPr>
      <w:r>
        <w:t>Cost/Unit: $18.50</w:t>
      </w:r>
    </w:p>
    <w:p>
      <w:pPr>
        <w:pStyle w:val="ListBullet"/>
      </w:pPr>
      <w:r>
        <w:t>Status: Performing as expected</w:t>
      </w:r>
    </w:p>
    <w:p>
      <w:pPr>
        <w:pStyle w:val="ListBullet"/>
      </w:pPr>
      <w:r>
        <w:t>**Insight:** Stable infrastructure, mature carrier network. Consider as benchmark for other regions.</w:t>
      </w:r>
    </w:p>
    <w:p>
      <w:pPr>
        <w:pStyle w:val="Heading3"/>
      </w:pPr>
      <w:r>
        <w:t>Europe (At Risk)</w:t>
      </w:r>
    </w:p>
    <w:p>
      <w:pPr>
        <w:pStyle w:val="ListBullet"/>
      </w:pPr>
      <w:r>
        <w:t>Shipments: 342,000</w:t>
      </w:r>
    </w:p>
    <w:p>
      <w:pPr>
        <w:pStyle w:val="ListBullet"/>
      </w:pPr>
      <w:r>
        <w:t>On-Time %: 94.8% ⚠️</w:t>
      </w:r>
    </w:p>
    <w:p>
      <w:pPr>
        <w:pStyle w:val="ListBullet"/>
      </w:pPr>
      <w:r>
        <w:t>Cost/Unit: $22.15 (highest)</w:t>
      </w:r>
    </w:p>
    <w:p>
      <w:pPr>
        <w:pStyle w:val="ListBullet"/>
      </w:pPr>
      <w:r>
        <w:t>Status: Monitoring required</w:t>
      </w:r>
    </w:p>
    <w:p>
      <w:pPr>
        <w:pStyle w:val="ListBullet"/>
      </w:pPr>
      <w:r>
        <w:t>**Challenge:** Regulatory delays, customs clearance bottlenecks. New EU trade rules impacting cycle times.</w:t>
      </w:r>
    </w:p>
    <w:p>
      <w:pPr>
        <w:pStyle w:val="Heading3"/>
      </w:pPr>
      <w:r>
        <w:t>APAC (Exceeding)</w:t>
      </w:r>
    </w:p>
    <w:p>
      <w:pPr>
        <w:pStyle w:val="ListBullet"/>
      </w:pPr>
      <w:r>
        <w:t>Shipments: 278,000</w:t>
      </w:r>
    </w:p>
    <w:p>
      <w:pPr>
        <w:pStyle w:val="ListBullet"/>
      </w:pPr>
      <w:r>
        <w:t>On-Time %: 97.1% ✅</w:t>
      </w:r>
    </w:p>
    <w:p>
      <w:pPr>
        <w:pStyle w:val="ListBullet"/>
      </w:pPr>
      <w:r>
        <w:t>Cost/Unit: $16.80 (most efficient)</w:t>
      </w:r>
    </w:p>
    <w:p>
      <w:pPr>
        <w:pStyle w:val="ListBullet"/>
      </w:pPr>
      <w:r>
        <w:t>Status: Exceeding targets</w:t>
      </w:r>
    </w:p>
    <w:p>
      <w:pPr>
        <w:pStyle w:val="ListBullet"/>
      </w:pPr>
      <w:r>
        <w:t>**Opportunity:** APAC efficiency could be shared with underperforming regions.</w:t>
      </w:r>
    </w:p>
    <w:p>
      <w:pPr>
        <w:pStyle w:val="Heading3"/>
      </w:pPr>
      <w:r>
        <w:t>Latin America (Below Target)</w:t>
      </w:r>
    </w:p>
    <w:p>
      <w:pPr>
        <w:pStyle w:val="ListBullet"/>
      </w:pPr>
      <w:r>
        <w:t>Shipments: 156,000</w:t>
      </w:r>
    </w:p>
    <w:p>
      <w:pPr>
        <w:pStyle w:val="ListBullet"/>
      </w:pPr>
      <w:r>
        <w:t>On-Time %: 91.5% ❌</w:t>
      </w:r>
    </w:p>
    <w:p>
      <w:pPr>
        <w:pStyle w:val="ListBullet"/>
      </w:pPr>
      <w:r>
        <w:t>Cost/Unit: $24.30</w:t>
      </w:r>
    </w:p>
    <w:p>
      <w:pPr>
        <w:pStyle w:val="ListBullet"/>
      </w:pPr>
      <w:r>
        <w:t>Status: Critical attention needed</w:t>
      </w:r>
    </w:p>
    <w:p>
      <w:pPr>
        <w:pStyle w:val="ListBullet"/>
      </w:pPr>
      <w:r>
        <w:t>**Root Causes:**</w:t>
      </w:r>
    </w:p>
    <w:p>
      <w:pPr>
        <w:pStyle w:val="ListBullet"/>
      </w:pPr>
      <w:r>
        <w:t>Carrier capacity shortages (rainy season)</w:t>
      </w:r>
    </w:p>
    <w:p>
      <w:pPr>
        <w:pStyle w:val="ListBullet"/>
      </w:pPr>
      <w:r>
        <w:t>Infrastructure gaps in smaller cities</w:t>
      </w:r>
    </w:p>
    <w:p>
      <w:pPr>
        <w:pStyle w:val="ListBullet"/>
      </w:pPr>
      <w:r>
        <w:t>Port congestion in Brazil/Mexico</w:t>
      </w:r>
    </w:p>
    <w:p>
      <w:pPr>
        <w:pStyle w:val="ListBullet"/>
      </w:pPr>
      <w:r>
        <w:t>**Action:** Partner with local carriers, explore airfreight alternatives for premium shipments</w:t>
      </w:r>
    </w:p>
    <w:p>
      <w:pPr>
        <w:pStyle w:val="Heading3"/>
      </w:pPr>
      <w:r>
        <w:t>Middle East (Stable)</w:t>
      </w:r>
    </w:p>
    <w:p>
      <w:pPr>
        <w:pStyle w:val="ListBullet"/>
      </w:pPr>
      <w:r>
        <w:t>Shipments: 89,000</w:t>
      </w:r>
    </w:p>
    <w:p>
      <w:pPr>
        <w:pStyle w:val="ListBullet"/>
      </w:pPr>
      <w:r>
        <w:t>On-Time %: 95.4% ✅</w:t>
      </w:r>
    </w:p>
    <w:p>
      <w:pPr>
        <w:pStyle w:val="ListBullet"/>
      </w:pPr>
      <w:r>
        <w:t>Cost/Unit: $28.90</w:t>
      </w:r>
    </w:p>
    <w:p>
      <w:pPr>
        <w:pStyle w:val="ListBullet"/>
      </w:pPr>
      <w:r>
        <w:t>Status: Performing with higher cost structure</w:t>
      </w:r>
    </w:p>
    <w:p>
      <w:pPr>
        <w:pStyle w:val="ListBullet"/>
      </w:pPr>
      <w:r>
        <w:t>**Note:** High costs justified by regional complexity; exploring consolidation opportunities</w:t>
      </w:r>
    </w:p>
    <w:p>
      <w:pPr>
        <w:pStyle w:val="Heading3"/>
      </w:pPr>
      <w:r>
        <w:t>Africa (Critical)</w:t>
      </w:r>
    </w:p>
    <w:p>
      <w:pPr>
        <w:pStyle w:val="ListBullet"/>
      </w:pPr>
      <w:r>
        <w:t>Shipments: 34,000</w:t>
      </w:r>
    </w:p>
    <w:p>
      <w:pPr>
        <w:pStyle w:val="ListBullet"/>
      </w:pPr>
      <w:r>
        <w:t>On-Time %: 88.3% ❌</w:t>
      </w:r>
    </w:p>
    <w:p>
      <w:pPr>
        <w:pStyle w:val="ListBullet"/>
      </w:pPr>
      <w:r>
        <w:t>Cost/Unit: $31.20 (highest)</w:t>
      </w:r>
    </w:p>
    <w:p>
      <w:pPr>
        <w:pStyle w:val="ListBullet"/>
      </w:pPr>
      <w:r>
        <w:t>Status: Urgent improvement required</w:t>
      </w:r>
    </w:p>
    <w:p>
      <w:pPr>
        <w:pStyle w:val="ListBullet"/>
      </w:pPr>
      <w:r>
        <w:t>**Challenge:** Limited infrastructure, emerging market operations</w:t>
      </w:r>
    </w:p>
    <w:p>
      <w:pPr>
        <w:pStyle w:val="ListBullet"/>
      </w:pPr>
      <w:r>
        <w:t>**Initiative:** Partner with Pan-African logistics providers; pilot routing optimization</w:t>
      </w:r>
    </w:p>
    <w:p>
      <w:pPr>
        <w:pStyle w:val="Heading2"/>
      </w:pPr>
      <w:r>
        <w:t>Key Findings</w:t>
      </w:r>
    </w:p>
    <w:p>
      <w:pPr>
        <w:pStyle w:val="Heading3"/>
      </w:pPr>
      <w:r>
        <w:t>Cost Drivers</w:t>
      </w:r>
    </w:p>
    <w:p>
      <w:r>
        <w:t>1. Fuel Surcharges: +8% vs Q1 (geopolitical factors)</w:t>
      </w:r>
    </w:p>
    <w:p>
      <w:r>
        <w:t>2. Carrier Rates: Peak season pricing locked in contracts</w:t>
      </w:r>
    </w:p>
    <w:p>
      <w:r>
        <w:t>3. Staffing: Warehouse labor shortage in North America (+12%)</w:t>
      </w:r>
    </w:p>
    <w:p>
      <w:r>
        <w:t>4. Technology: Automation ROI timeline extended 6 months</w:t>
      </w:r>
    </w:p>
    <w:p>
      <w:pPr>
        <w:pStyle w:val="Heading3"/>
      </w:pPr>
      <w:r>
        <w:t>Operational Risks</w:t>
      </w:r>
    </w:p>
    <w:p>
      <w:pPr>
        <w:pStyle w:val="ListBullet"/>
      </w:pPr>
      <w:r>
        <w:t>**Europe:** Q3 tariff uncertainty on UK-EU corridor</w:t>
      </w:r>
    </w:p>
    <w:p>
      <w:pPr>
        <w:pStyle w:val="ListBullet"/>
      </w:pPr>
      <w:r>
        <w:t>**LATAM:** Hurricane season risk (June–November); recommend contingency planning</w:t>
      </w:r>
    </w:p>
    <w:p>
      <w:pPr>
        <w:pStyle w:val="ListBullet"/>
      </w:pPr>
      <w:r>
        <w:t>**Africa:** Currency volatility impacting freight forwarding costs</w:t>
      </w:r>
    </w:p>
    <w:p>
      <w:pPr>
        <w:pStyle w:val="Heading3"/>
      </w:pPr>
      <w:r>
        <w:t>Opportunities</w:t>
      </w:r>
    </w:p>
    <w:p>
      <w:pPr>
        <w:pStyle w:val="ListBullet"/>
      </w:pPr>
      <w:r>
        <w:t>**APAC Expansion:** Current efficiency + growing market demand = high-margin growth</w:t>
      </w:r>
    </w:p>
    <w:p>
      <w:pPr>
        <w:pStyle w:val="ListBullet"/>
      </w:pPr>
      <w:r>
        <w:t>**Automation:** North America warehouse pilot showing 18% productivity gain</w:t>
      </w:r>
    </w:p>
    <w:p>
      <w:pPr>
        <w:pStyle w:val="ListBullet"/>
      </w:pPr>
      <w:r>
        <w:t>**Partnership:** Consolidation with regional carriers could reduce LATAM costs by 6-10%</w:t>
      </w:r>
    </w:p>
    <w:p>
      <w:pPr>
        <w:pStyle w:val="Heading2"/>
      </w:pPr>
      <w:r>
        <w:t>Q2 vs Q1 Comparison</w:t>
      </w:r>
    </w:p>
    <w:p>
      <w:r>
        <w:t>| Metric | Q1 | Q2 | Change |</w:t>
      </w:r>
    </w:p>
    <w:p>
      <w:r>
        <w:t>|--------|----|----|--------|</w:t>
      </w:r>
    </w:p>
    <w:p>
      <w:r>
        <w:t>| On-Time % | 93.8% | 94.3% | ↑ +0.5% |</w:t>
      </w:r>
    </w:p>
    <w:p>
      <w:r>
        <w:t>| Cost/Unit | $19.85 | $20.34 | ↓ -2.5% (vs target) |</w:t>
      </w:r>
    </w:p>
    <w:p>
      <w:r>
        <w:t>| Total Shipments | 1,456,000 | 1,511,000 | ↑ +3.8% |</w:t>
      </w:r>
    </w:p>
    <w:p>
      <w:r>
        <w:t>| Margin | 12.4% | 11.9% | ↓ (cost pressure) |</w:t>
      </w:r>
    </w:p>
    <w:p>
      <w:pPr>
        <w:pStyle w:val="Heading2"/>
      </w:pPr>
      <w:r>
        <w:t>Recommendations for Q3</w:t>
      </w:r>
    </w:p>
    <w:p>
      <w:r>
        <w:t>1. Immediate (Next 2 weeks):</w:t>
      </w:r>
    </w:p>
    <w:p>
      <w:r>
        <w:t xml:space="preserve">   - Surge staffing in LATAM hubs</w:t>
      </w:r>
    </w:p>
    <w:p>
      <w:r>
        <w:t xml:space="preserve">   - Activate backup carriers for Africa region</w:t>
      </w:r>
    </w:p>
    <w:p>
      <w:r>
        <w:t xml:space="preserve">   - Lock fuel surcharge contracts before June rate increase</w:t>
      </w:r>
    </w:p>
    <w:p>
      <w:r>
        <w:t>2. Short-term (Next 4 weeks):</w:t>
      </w:r>
    </w:p>
    <w:p>
      <w:r>
        <w:t xml:space="preserve">   - Deploy Copilot AI for route optimization (testing with 5% of volume)</w:t>
      </w:r>
    </w:p>
    <w:p>
      <w:r>
        <w:t xml:space="preserve">   - Launch "Efficiency Share" knowledge transfer from APAC → Europe</w:t>
      </w:r>
    </w:p>
    <w:p>
      <w:r>
        <w:t xml:space="preserve">   - Pilot automation in 2 additional North America warehouses</w:t>
      </w:r>
    </w:p>
    <w:p>
      <w:r>
        <w:t>3. Medium-term (Next 12 weeks):</w:t>
      </w:r>
    </w:p>
    <w:p>
      <w:r>
        <w:t xml:space="preserve">   - Strategic partnership negotiations in LATAM/Africa</w:t>
      </w:r>
    </w:p>
    <w:p>
      <w:r>
        <w:t xml:space="preserve">   - Expand APAC hub capacity by 25%</w:t>
      </w:r>
    </w:p>
    <w:p>
      <w:r>
        <w:t xml:space="preserve">   - Implement real-time visibility dashboard (Copilot-powered)</w:t>
      </w:r>
    </w:p>
    <w:p>
      <w:pPr>
        <w:pStyle w:val="Heading2"/>
      </w:pPr>
      <w:r>
        <w:t>Conclusion</w:t>
      </w:r>
    </w:p>
    <w:p>
      <w:r>
        <w:t>Q2 demonstrated mixed performance: strong in developed markets (North America, APAC) but underperformance in emerging regions (LATAM, Africa) signals need for targeted intervention. Cost pressures from fuel and labor require efficiency gains through automation and AI-powered optimization. APAC's outperformance proves the model works; scaling it to underperforming regions is the priority for Q3-Q4.</w:t>
      </w:r>
    </w:p>
    <w:p>
      <w:r>
        <w:t>Next Review: July 15, 2026 (End of Q2 / Start of Q3 Action Planning)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