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Master Services Agreement</w:t>
      </w:r>
    </w:p>
    <w:p>
      <w:pPr>
        <w:jc w:val="center"/>
      </w:pPr>
      <w:r>
        <w:t>Between Contoso Real Estate Holding GmbH and Northwind Property Services Ltd.</w:t>
      </w:r>
    </w:p>
    <w:p>
      <w:pPr>
        <w:jc w:val="center"/>
      </w:pPr>
      <w:r>
        <w:t>Demo document - fictitious data for Microsoft 365 Copilot legal workflow demonstration.</w:t>
      </w:r>
    </w:p>
    <w:p/>
    <w:p>
      <w:pPr>
        <w:pStyle w:val="Heading1"/>
      </w:pPr>
      <w:r>
        <w:t>Agreement Summary</w:t>
      </w:r>
    </w:p>
    <w:p>
      <w:r>
        <w:t>This Master Services Agreement governs property management, facilities coordination, tenant service operations, reporting, and related advisory services for a mixed real estate portfolio in Germany, France, the Netherlands, the United Kingdom, and Singapore.</w:t>
      </w:r>
    </w:p>
    <w:tbl>
      <w:tblPr>
        <w:tblStyle w:val="TableGrid"/>
        <w:tblW w:type="auto" w:w="0"/>
        <w:jc w:val="center"/>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Effective date</w:t>
            </w:r>
          </w:p>
        </w:tc>
        <w:tc>
          <w:tcPr>
            <w:tcW w:type="dxa" w:w="4896"/>
          </w:tcPr>
          <w:p>
            <w:r>
              <w:t>1 July 2026</w:t>
            </w:r>
          </w:p>
        </w:tc>
      </w:tr>
      <w:tr>
        <w:tc>
          <w:tcPr>
            <w:tcW w:type="dxa" w:w="4896"/>
          </w:tcPr>
          <w:p>
            <w:r>
              <w:t>Initial term</w:t>
            </w:r>
          </w:p>
        </w:tc>
        <w:tc>
          <w:tcPr>
            <w:tcW w:type="dxa" w:w="4896"/>
          </w:tcPr>
          <w:p>
            <w:r>
              <w:t>36 months, automatic renewal for additional 24 months unless terminated 180 days before expiry</w:t>
            </w:r>
          </w:p>
        </w:tc>
      </w:tr>
      <w:tr>
        <w:tc>
          <w:tcPr>
            <w:tcW w:type="dxa" w:w="4896"/>
          </w:tcPr>
          <w:p>
            <w:r>
              <w:t>Annual fee</w:t>
            </w:r>
          </w:p>
        </w:tc>
        <w:tc>
          <w:tcPr>
            <w:tcW w:type="dxa" w:w="4896"/>
          </w:tcPr>
          <w:p>
            <w:r>
              <w:t>EUR 4,850,000 plus pass-through costs</w:t>
            </w:r>
          </w:p>
        </w:tc>
      </w:tr>
      <w:tr>
        <w:tc>
          <w:tcPr>
            <w:tcW w:type="dxa" w:w="4896"/>
          </w:tcPr>
          <w:p>
            <w:r>
              <w:t>Governing law</w:t>
            </w:r>
          </w:p>
        </w:tc>
        <w:tc>
          <w:tcPr>
            <w:tcW w:type="dxa" w:w="4896"/>
          </w:tcPr>
          <w:p>
            <w:r>
              <w:t>England and Wales</w:t>
            </w:r>
          </w:p>
        </w:tc>
      </w:tr>
      <w:tr>
        <w:tc>
          <w:tcPr>
            <w:tcW w:type="dxa" w:w="4896"/>
          </w:tcPr>
          <w:p>
            <w:r>
              <w:t>Portfolio</w:t>
            </w:r>
          </w:p>
        </w:tc>
        <w:tc>
          <w:tcPr>
            <w:tcW w:type="dxa" w:w="4896"/>
          </w:tcPr>
          <w:p>
            <w:r>
              <w:t>72 commercial and mixed-use properties</w:t>
            </w:r>
          </w:p>
        </w:tc>
      </w:tr>
      <w:tr>
        <w:tc>
          <w:tcPr>
            <w:tcW w:type="dxa" w:w="4896"/>
          </w:tcPr>
          <w:p>
            <w:r>
              <w:t>Service credits</w:t>
            </w:r>
          </w:p>
        </w:tc>
        <w:tc>
          <w:tcPr>
            <w:tcW w:type="dxa" w:w="4896"/>
          </w:tcPr>
          <w:p>
            <w:r>
              <w:t>Maximum 3 percent of monthly service fees</w:t>
            </w:r>
          </w:p>
        </w:tc>
      </w:tr>
    </w:tbl>
    <w:p>
      <w:pPr>
        <w:pStyle w:val="Heading1"/>
      </w:pPr>
      <w:r>
        <w:t>Commercial and Legal Terms</w:t>
      </w:r>
    </w:p>
    <w:p>
      <w:pPr>
        <w:pStyle w:val="Heading2"/>
      </w:pPr>
      <w:r>
        <w:t>1. Scope of Services</w:t>
      </w:r>
    </w:p>
    <w:p>
      <w:r>
        <w:t>Northwind shall provide property operations support, vendor coordination, facilities ticket triage, tenant communication, service charge reporting, lease administration support, ESG data collection, and monthly portfolio performance reporting. Northwind may subcontract any part of the services without prior written approval where it believes such subcontracting is operationally efficient.</w:t>
      </w:r>
    </w:p>
    <w:p>
      <w:pPr>
        <w:pStyle w:val="Heading2"/>
      </w:pPr>
      <w:r>
        <w:t>2. Service Levels</w:t>
      </w:r>
    </w:p>
    <w:p>
      <w:r>
        <w:t>Northwind shall use commercially reasonable efforts to meet the service levels in Schedule 2. Failure to meet a service level for three consecutive months may result in a service credit, provided Contoso gives written notice within five business days after the relevant reporting period. Total service credits are capped at three percent of the monthly service fee and are Contoso's sole and exclusive remedy for service level failures.</w:t>
      </w:r>
    </w:p>
    <w:p>
      <w:pPr>
        <w:pStyle w:val="Heading2"/>
      </w:pPr>
      <w:r>
        <w:t>3. Fees and Indexation</w:t>
      </w:r>
    </w:p>
    <w:p>
      <w:r>
        <w:t>Fees are payable monthly in advance. Northwind may increase fees once per calendar year by the higher of CPI, wage inflation in the service location, or five percent. Pass-through costs require no prior approval if they relate to urgent operational needs or health and safety matters.</w:t>
      </w:r>
    </w:p>
    <w:p>
      <w:pPr>
        <w:pStyle w:val="Heading2"/>
      </w:pPr>
      <w:r>
        <w:t>4. Data Protection</w:t>
      </w:r>
    </w:p>
    <w:p>
      <w:r>
        <w:t>Each party shall comply with applicable data protection law. Northwind may process tenant, visitor, building access, service ticket, vendor, and energy usage data for service delivery, analytics, benchmarking, product improvement, and other legitimate business purposes. Northwind may transfer personal data to affiliates and subcontractors located outside the European Economic Area where appropriate safeguards are in place.</w:t>
      </w:r>
    </w:p>
    <w:p>
      <w:pPr>
        <w:pStyle w:val="Heading2"/>
      </w:pPr>
      <w:r>
        <w:t>5. Confidentiality</w:t>
      </w:r>
    </w:p>
    <w:p>
      <w:r>
        <w:t>Each party shall protect confidential information using reasonable care. Confidentiality obligations expire three years after disclosure. Northwind may use aggregated and anonymized portfolio data to create industry benchmarks and commercial insights, provided no individual tenant name is disclosed.</w:t>
      </w:r>
    </w:p>
    <w:p>
      <w:pPr>
        <w:pStyle w:val="Heading2"/>
      </w:pPr>
      <w:r>
        <w:t>6. Audit Rights</w:t>
      </w:r>
    </w:p>
    <w:p>
      <w:r>
        <w:t>Contoso may audit Northwind once per year upon 30 days' notice during normal business hours. Audits must not disrupt Northwind operations and must be limited to records directly related to services performed for Contoso. Northwind may charge reasonable support fees for audit assistance.</w:t>
      </w:r>
    </w:p>
    <w:p>
      <w:pPr>
        <w:pStyle w:val="Heading2"/>
      </w:pPr>
      <w:r>
        <w:t>7. Liability</w:t>
      </w:r>
    </w:p>
    <w:p>
      <w:r>
        <w:t>Northwind's total aggregate liability under this Agreement shall not exceed the fees paid in the three months preceding the event giving rise to the claim. Neither party shall be liable for indirect, consequential, special, punitive, or loss of profit damages, even if advised of the possibility of such damages. The liability cap applies to all claims including confidentiality, data protection, security incidents, and indemnities.</w:t>
      </w:r>
    </w:p>
    <w:p>
      <w:pPr>
        <w:pStyle w:val="Heading2"/>
      </w:pPr>
      <w:r>
        <w:t>8. Indemnity</w:t>
      </w:r>
    </w:p>
    <w:p>
      <w:r>
        <w:t>Northwind shall indemnify Contoso against third-party claims arising from Northwind's gross negligence or willful misconduct. Contoso shall indemnify Northwind for tenant claims, property defects, legacy environmental conditions, and instructions given by Contoso personnel.</w:t>
      </w:r>
    </w:p>
    <w:p>
      <w:pPr>
        <w:pStyle w:val="Heading2"/>
      </w:pPr>
      <w:r>
        <w:t>9. Termination</w:t>
      </w:r>
    </w:p>
    <w:p>
      <w:r>
        <w:t>Either party may terminate for material breach if the breach remains uncured for 60 days after written notice. Contoso may terminate for convenience after the first 18 months by paying an early termination fee equal to nine months of average fees plus committed pass-through costs. Termination assistance is available for an additional fee.</w:t>
      </w:r>
    </w:p>
    <w:p>
      <w:pPr>
        <w:pStyle w:val="Heading2"/>
      </w:pPr>
      <w:r>
        <w:t>10. Change Control</w:t>
      </w:r>
    </w:p>
    <w:p>
      <w:r>
        <w:t>Any change in portfolio size, reporting requirements, service level scope, ESG data obligations, regulatory requirements, or system integrations shall be treated as a chargeable change request unless expressly included in Schedule 1.</w:t>
      </w:r>
    </w:p>
    <w:p>
      <w:pPr>
        <w:pStyle w:val="Heading2"/>
      </w:pPr>
      <w:r>
        <w:t>11. Dispute Resolution</w:t>
      </w:r>
    </w:p>
    <w:p>
      <w:r>
        <w:t>Senior executives shall first attempt to resolve disputes informally. If unresolved after 45 days, disputes shall be referred to binding arbitration in London under LCIA rules. Proceedings shall be confidential and conducted in English.</w:t>
      </w:r>
    </w:p>
    <w:p>
      <w:pPr>
        <w:pStyle w:val="Heading2"/>
      </w:pPr>
      <w:r>
        <w:t>12. AI and Automation</w:t>
      </w:r>
    </w:p>
    <w:p>
      <w:r>
        <w:t>Northwind may use AI tools, workflow automation, and subcontractor platforms to provide the services. Northwind remains responsible for outputs it approves for delivery to Contoso. Contoso acknowledges that AI-generated drafts, summaries, and recommendations may contain inaccuracies and must be reviewed by qualified personnel before reliance.</w:t>
      </w:r>
    </w:p>
    <w:p>
      <w:pPr>
        <w:pStyle w:val="Heading1"/>
      </w:pPr>
      <w:r>
        <w:t>Schedule 2 - Selected Service Levels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t>Service</w:t>
            </w:r>
          </w:p>
        </w:tc>
        <w:tc>
          <w:tcPr>
            <w:tcW w:type="dxa" w:w="2448"/>
          </w:tcPr>
          <w:p>
            <w:r>
              <w:t>Target</w:t>
            </w:r>
          </w:p>
        </w:tc>
        <w:tc>
          <w:tcPr>
            <w:tcW w:type="dxa" w:w="2448"/>
          </w:tcPr>
          <w:p>
            <w:r>
              <w:t>Measurement</w:t>
            </w:r>
          </w:p>
        </w:tc>
        <w:tc>
          <w:tcPr>
            <w:tcW w:type="dxa" w:w="2448"/>
          </w:tcPr>
          <w:p>
            <w:r>
              <w:t>Credit</w:t>
            </w:r>
          </w:p>
        </w:tc>
      </w:tr>
      <w:tr>
        <w:tc>
          <w:tcPr>
            <w:tcW w:type="dxa" w:w="2448"/>
          </w:tcPr>
          <w:p>
            <w:r>
              <w:t>Critical tenant issue triage</w:t>
            </w:r>
          </w:p>
        </w:tc>
        <w:tc>
          <w:tcPr>
            <w:tcW w:type="dxa" w:w="2448"/>
          </w:tcPr>
          <w:p>
            <w:r>
              <w:t>4 business hours</w:t>
            </w:r>
          </w:p>
        </w:tc>
        <w:tc>
          <w:tcPr>
            <w:tcW w:type="dxa" w:w="2448"/>
          </w:tcPr>
          <w:p>
            <w:r>
              <w:t>Ticket timestamp to first response</w:t>
            </w:r>
          </w:p>
        </w:tc>
        <w:tc>
          <w:tcPr>
            <w:tcW w:type="dxa" w:w="2448"/>
          </w:tcPr>
          <w:p>
            <w:r>
              <w:t>0.5% monthly fee</w:t>
            </w:r>
          </w:p>
        </w:tc>
      </w:tr>
      <w:tr>
        <w:tc>
          <w:tcPr>
            <w:tcW w:type="dxa" w:w="2448"/>
          </w:tcPr>
          <w:p>
            <w:r>
              <w:t>Monthly portfolio report</w:t>
            </w:r>
          </w:p>
        </w:tc>
        <w:tc>
          <w:tcPr>
            <w:tcW w:type="dxa" w:w="2448"/>
          </w:tcPr>
          <w:p>
            <w:r>
              <w:t>Business day 8</w:t>
            </w:r>
          </w:p>
        </w:tc>
        <w:tc>
          <w:tcPr>
            <w:tcW w:type="dxa" w:w="2448"/>
          </w:tcPr>
          <w:p>
            <w:r>
              <w:t>Report sent to Contoso</w:t>
            </w:r>
          </w:p>
        </w:tc>
        <w:tc>
          <w:tcPr>
            <w:tcW w:type="dxa" w:w="2448"/>
          </w:tcPr>
          <w:p>
            <w:r>
              <w:t>0.25% monthly fee</w:t>
            </w:r>
          </w:p>
        </w:tc>
      </w:tr>
      <w:tr>
        <w:tc>
          <w:tcPr>
            <w:tcW w:type="dxa" w:w="2448"/>
          </w:tcPr>
          <w:p>
            <w:r>
              <w:t>ESG meter-data completeness</w:t>
            </w:r>
          </w:p>
        </w:tc>
        <w:tc>
          <w:tcPr>
            <w:tcW w:type="dxa" w:w="2448"/>
          </w:tcPr>
          <w:p>
            <w:r>
              <w:t>92%</w:t>
            </w:r>
          </w:p>
        </w:tc>
        <w:tc>
          <w:tcPr>
            <w:tcW w:type="dxa" w:w="2448"/>
          </w:tcPr>
          <w:p>
            <w:r>
              <w:t>Meter points with validated reading</w:t>
            </w:r>
          </w:p>
        </w:tc>
        <w:tc>
          <w:tcPr>
            <w:tcW w:type="dxa" w:w="2448"/>
          </w:tcPr>
          <w:p>
            <w:r>
              <w:t>0.25% monthly fee</w:t>
            </w:r>
          </w:p>
        </w:tc>
      </w:tr>
      <w:tr>
        <w:tc>
          <w:tcPr>
            <w:tcW w:type="dxa" w:w="2448"/>
          </w:tcPr>
          <w:p>
            <w:r>
              <w:t>Vendor invoice coding</w:t>
            </w:r>
          </w:p>
        </w:tc>
        <w:tc>
          <w:tcPr>
            <w:tcW w:type="dxa" w:w="2448"/>
          </w:tcPr>
          <w:p>
            <w:r>
              <w:t>95% within 5 business days</w:t>
            </w:r>
          </w:p>
        </w:tc>
        <w:tc>
          <w:tcPr>
            <w:tcW w:type="dxa" w:w="2448"/>
          </w:tcPr>
          <w:p>
            <w:r>
              <w:t>Invoice workflow data</w:t>
            </w:r>
          </w:p>
        </w:tc>
        <w:tc>
          <w:tcPr>
            <w:tcW w:type="dxa" w:w="2448"/>
          </w:tcPr>
          <w:p>
            <w:r>
              <w:t>0.5% monthly fee</w:t>
            </w:r>
          </w:p>
        </w:tc>
      </w:tr>
    </w:tbl>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