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11F4B"/>
          <w:sz w:val="40"/>
        </w:rPr>
        <w:t>Zava Rush Order Operations Plan</w:t>
      </w:r>
    </w:p>
    <w:p>
      <w:pPr>
        <w:jc w:val="center"/>
      </w:pPr>
      <w:r>
        <w:t>Decision-ready plan for Microsoft Events AI Launch Summit order</w:t>
      </w:r>
    </w:p>
    <w:p>
      <w:pPr>
        <w:pStyle w:val="Heading1"/>
      </w:pPr>
      <w:r>
        <w:t>Executive Recommendation</w:t>
      </w:r>
    </w:p>
    <w:p>
      <w:r>
        <w:t>Proceed with a conditional yes. Zava can commit to the 20,000-unit rush order if partner capacity, NFC activation, pricefloor, and premium freight are confirmed before the customer response deadline.</w:t>
      </w:r>
    </w:p>
    <w:p>
      <w:pPr>
        <w:pStyle w:val="Heading1"/>
      </w:pPr>
      <w:r>
        <w:t>Four-Hour Action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Workstream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  <w:tc>
          <w:tcPr>
            <w:tcW w:type="dxa" w:w="2160"/>
          </w:tcPr>
          <w:p>
            <w:r>
              <w:t>Outcome</w:t>
            </w:r>
          </w:p>
        </w:tc>
      </w:tr>
      <w:tr>
        <w:tc>
          <w:tcPr>
            <w:tcW w:type="dxa" w:w="2160"/>
          </w:tcPr>
          <w:p>
            <w:r>
              <w:t>Partner capacity</w:t>
            </w:r>
          </w:p>
        </w:tc>
        <w:tc>
          <w:tcPr>
            <w:tcW w:type="dxa" w:w="2160"/>
          </w:tcPr>
          <w:p>
            <w:r>
              <w:t>Omar Haddad</w:t>
            </w:r>
          </w:p>
        </w:tc>
        <w:tc>
          <w:tcPr>
            <w:tcW w:type="dxa" w:w="2160"/>
          </w:tcPr>
          <w:p>
            <w:r>
              <w:t>15:30</w:t>
            </w:r>
          </w:p>
        </w:tc>
        <w:tc>
          <w:tcPr>
            <w:tcW w:type="dxa" w:w="2160"/>
          </w:tcPr>
          <w:p>
            <w:r>
              <w:t>Berlin and Porto capacity locked</w:t>
            </w:r>
          </w:p>
        </w:tc>
      </w:tr>
      <w:tr>
        <w:tc>
          <w:tcPr>
            <w:tcW w:type="dxa" w:w="2160"/>
          </w:tcPr>
          <w:p>
            <w:r>
              <w:t>Pricing</w:t>
            </w:r>
          </w:p>
        </w:tc>
        <w:tc>
          <w:tcPr>
            <w:tcW w:type="dxa" w:w="2160"/>
          </w:tcPr>
          <w:p>
            <w:r>
              <w:t>Lena Vogt</w:t>
            </w:r>
          </w:p>
        </w:tc>
        <w:tc>
          <w:tcPr>
            <w:tcW w:type="dxa" w:w="2160"/>
          </w:tcPr>
          <w:p>
            <w:r>
              <w:t>16:00</w:t>
            </w:r>
          </w:p>
        </w:tc>
        <w:tc>
          <w:tcPr>
            <w:tcW w:type="dxa" w:w="2160"/>
          </w:tcPr>
          <w:p>
            <w:r>
              <w:t>EUR 25.80 pricefloor confirmed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Rafael Ortiz</w:t>
            </w:r>
          </w:p>
        </w:tc>
        <w:tc>
          <w:tcPr>
            <w:tcW w:type="dxa" w:w="2160"/>
          </w:tcPr>
          <w:p>
            <w:r>
              <w:t>16:00</w:t>
            </w:r>
          </w:p>
        </w:tc>
        <w:tc>
          <w:tcPr>
            <w:tcW w:type="dxa" w:w="2160"/>
          </w:tcPr>
          <w:p>
            <w:r>
              <w:t>Singapore premium lane confirmed</w:t>
            </w:r>
          </w:p>
        </w:tc>
      </w:tr>
      <w:tr>
        <w:tc>
          <w:tcPr>
            <w:tcW w:type="dxa" w:w="2160"/>
          </w:tcPr>
          <w:p>
            <w:r>
              <w:t>Customer response</w:t>
            </w:r>
          </w:p>
        </w:tc>
        <w:tc>
          <w:tcPr>
            <w:tcW w:type="dxa" w:w="2160"/>
          </w:tcPr>
          <w:p>
            <w:r>
              <w:t>Maya Chen</w:t>
            </w:r>
          </w:p>
        </w:tc>
        <w:tc>
          <w:tcPr>
            <w:tcW w:type="dxa" w:w="2160"/>
          </w:tcPr>
          <w:p>
            <w:r>
              <w:t>16:30</w:t>
            </w:r>
          </w:p>
        </w:tc>
        <w:tc>
          <w:tcPr>
            <w:tcW w:type="dxa" w:w="2160"/>
          </w:tcPr>
          <w:p>
            <w:r>
              <w:t>Conditional yes drafted</w:t>
            </w:r>
          </w:p>
        </w:tc>
      </w:tr>
      <w:tr>
        <w:tc>
          <w:tcPr>
            <w:tcW w:type="dxa" w:w="2160"/>
          </w:tcPr>
          <w:p>
            <w:r>
              <w:t>Executive approval</w:t>
            </w:r>
          </w:p>
        </w:tc>
        <w:tc>
          <w:tcPr>
            <w:tcW w:type="dxa" w:w="2160"/>
          </w:tcPr>
          <w:p>
            <w:r>
              <w:t>Zoe Keller</w:t>
            </w:r>
          </w:p>
        </w:tc>
        <w:tc>
          <w:tcPr>
            <w:tcW w:type="dxa" w:w="2160"/>
          </w:tcPr>
          <w:p>
            <w:r>
              <w:t>17:00</w:t>
            </w:r>
          </w:p>
        </w:tc>
        <w:tc>
          <w:tcPr>
            <w:tcW w:type="dxa" w:w="2160"/>
          </w:tcPr>
          <w:p>
            <w:r>
              <w:t>Final recommendation approved</w:t>
            </w:r>
          </w:p>
        </w:tc>
      </w:tr>
    </w:tbl>
    <w:p>
      <w:pPr>
        <w:pStyle w:val="Heading1"/>
      </w:pPr>
      <w:r>
        <w:t>Risks and Mitigations</w:t>
      </w:r>
    </w:p>
    <w:p>
      <w:r>
        <w:t>White XL/XXL supply is the highest visible customer risk; offer substitution rules and disclose the constraint.</w:t>
      </w:r>
    </w:p>
    <w:p>
      <w:r>
        <w:t>NFC activation is the operational bottleneck; reserve evening capacity and sequence Black/Cobalt first.</w:t>
      </w:r>
    </w:p>
    <w:p>
      <w:r>
        <w:t>Expedite fees can erode margin; keep the average unit price at or above EUR 25.80.</w:t>
      </w:r>
    </w:p>
    <w:p>
      <w:r>
        <w:t>Singapore customs timing needs premium freight and earlier packing cut-off.</w:t>
      </w:r>
    </w:p>
    <w:p>
      <w:pPr>
        <w:pStyle w:val="Heading1"/>
      </w:pPr>
      <w:r>
        <w:t>Customer Message Guidance</w:t>
      </w:r>
    </w:p>
    <w:p>
      <w:r>
        <w:t>Tone: confident, transparent, and commercially disciplined. Do not expose internal cost details. Use conditional commitment language until partner confirmations are 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B11F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11F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