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Microsoft Agent 365 Governance Checklist</w:t>
      </w:r>
    </w:p>
    <w:p>
      <w:pPr>
        <w:pStyle w:val="Heading1"/>
      </w:pPr>
      <w:r>
        <w:t>Observe</w:t>
      </w:r>
    </w:p>
    <w:p>
      <w:pPr>
        <w:pStyle w:val="ListBullet"/>
      </w:pPr>
      <w:r>
        <w:t>Confirm the agent appears in inventory or registry.</w:t>
      </w:r>
    </w:p>
    <w:p>
      <w:pPr>
        <w:pStyle w:val="ListBullet"/>
      </w:pPr>
      <w:r>
        <w:t>Review name, description, owner, publisher, platform, environment, status, and connectors/tools.</w:t>
      </w:r>
    </w:p>
    <w:p>
      <w:pPr>
        <w:pStyle w:val="ListBullet"/>
      </w:pPr>
      <w:r>
        <w:t>Check usage, activity, health, errors, and invocation signals where available.</w:t>
      </w:r>
    </w:p>
    <w:p>
      <w:pPr>
        <w:pStyle w:val="Heading1"/>
      </w:pPr>
      <w:r>
        <w:t>Govern</w:t>
      </w:r>
    </w:p>
    <w:p>
      <w:pPr>
        <w:pStyle w:val="ListBullet"/>
      </w:pPr>
      <w:r>
        <w:t>Confirm owner and business justification.</w:t>
      </w:r>
    </w:p>
    <w:p>
      <w:pPr>
        <w:pStyle w:val="ListBullet"/>
      </w:pPr>
      <w:r>
        <w:t>Review data sources and custom actions before publishing.</w:t>
      </w:r>
    </w:p>
    <w:p>
      <w:pPr>
        <w:pStyle w:val="ListBullet"/>
      </w:pPr>
      <w:r>
        <w:t>Scope availability to everyone, no one, or specific users/groups as appropriate.</w:t>
      </w:r>
    </w:p>
    <w:p>
      <w:pPr>
        <w:pStyle w:val="ListBullet"/>
      </w:pPr>
      <w:r>
        <w:t>Use block, reassign, delete, publish, or reject controls only with demo-safe intent.</w:t>
      </w:r>
    </w:p>
    <w:p>
      <w:pPr>
        <w:pStyle w:val="ListBullet"/>
      </w:pPr>
      <w:r>
        <w:t>Review ownerless agents and high-risk connectors.</w:t>
      </w:r>
    </w:p>
    <w:p>
      <w:pPr>
        <w:pStyle w:val="Heading1"/>
      </w:pPr>
      <w:r>
        <w:t>Secure</w:t>
      </w:r>
    </w:p>
    <w:p>
      <w:pPr>
        <w:pStyle w:val="ListBullet"/>
      </w:pPr>
      <w:r>
        <w:t>Explain Entra identity/access positioning.</w:t>
      </w:r>
    </w:p>
    <w:p>
      <w:pPr>
        <w:pStyle w:val="ListBullet"/>
      </w:pPr>
      <w:r>
        <w:t>Explain Purview audit, DLP, information protection, and compliance review.</w:t>
      </w:r>
    </w:p>
    <w:p>
      <w:pPr>
        <w:pStyle w:val="ListBullet"/>
      </w:pPr>
      <w:r>
        <w:t>Explain Defender threat detection and runtime protection positioning.</w:t>
      </w:r>
    </w:p>
    <w:p>
      <w:pPr>
        <w:pStyle w:val="Heading1"/>
      </w:pPr>
      <w:r>
        <w:t>Demo caveats</w:t>
      </w:r>
    </w:p>
    <w:p>
      <w:pPr>
        <w:pStyle w:val="ListBullet"/>
      </w:pPr>
      <w:r>
        <w:t>Agent 365 is the control plane, not another chatbot.</w:t>
      </w:r>
    </w:p>
    <w:p>
      <w:pPr>
        <w:pStyle w:val="ListBullet"/>
      </w:pPr>
      <w:r>
        <w:t>All-agents activity view is preview, read-only, user-scoped, and retained for 30 days.</w:t>
      </w:r>
    </w:p>
    <w:p>
      <w:pPr>
        <w:pStyle w:val="ListBullet"/>
      </w:pPr>
      <w:r>
        <w:t>If tenant UI is unavailable, use the review register and this checklist as the backup talk track.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