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Strip-Ratio Optimisation — Production Cost Review</w:t>
      </w:r>
    </w:p>
    <w:p>
      <w:r>
        <w:t>Contoso Coal &amp; Resources · Strategic Memo · Internal · 30 June 2026</w:t>
      </w:r>
    </w:p>
    <w:p/>
    <w:p>
      <w:pPr>
        <w:pStyle w:val="Heading1"/>
      </w:pPr>
      <w:r>
        <w:t>Executive Summary</w:t>
      </w:r>
    </w:p>
    <w:p>
      <w:r>
        <w:t>ROM production is tracking 4.3 Mt against a 4.5 Mt plan as strip ratio drifts to 8.9 BCM/t versus 8.5 baseline at Sangatta and Bengalon. FOB cash cost has lifted to USD 44/t (plan: USD 42). Equipment availability sits at 85% versus an 87% target and we delivered zero LTIs across the quarter. We recommend a strip-ratio recovery sprint at the two weak mines, an accelerated dragline reliability and tyre-supply programme, and a board paper on the FY26 nickel-and-copper diversification pipeline.</w:t>
      </w:r>
    </w:p>
    <w:p>
      <w:pPr>
        <w:pStyle w:val="Heading1"/>
      </w:pPr>
      <w:r>
        <w:t>Where we are</w:t>
      </w:r>
    </w:p>
    <w:p>
      <w:pPr>
        <w:pStyle w:val="ListBullet"/>
      </w:pPr>
      <w:r>
        <w:t>ROM Production (Mt) — current YTD vs plan; full breakdown in 02 Contoso_KPI_Dashboard.xlsx.</w:t>
      </w:r>
    </w:p>
    <w:p>
      <w:pPr>
        <w:pStyle w:val="ListBullet"/>
      </w:pPr>
      <w:r>
        <w:t>Strip Ratio (BCM/t) — current YTD vs plan; full breakdown in 02 Contoso_KPI_Dashboard.xlsx.</w:t>
      </w:r>
    </w:p>
    <w:p>
      <w:pPr>
        <w:pStyle w:val="ListBullet"/>
      </w:pPr>
      <w:r>
        <w:t>FOB Cash Cost (USD/t) — current YTD vs plan; full breakdown in 02 Contoso_KPI_Dashboard.xlsx.</w:t>
      </w:r>
    </w:p>
    <w:p>
      <w:pPr>
        <w:pStyle w:val="Heading1"/>
      </w:pPr>
      <w:r>
        <w:t>Three Strategic Priorities (FY26 H2)</w:t>
      </w:r>
    </w:p>
    <w:p>
      <w:pPr>
        <w:pStyle w:val="ListNumber"/>
      </w:pPr>
      <w:r>
        <w:t>Strip-ratio recovery sprint at Sangatta and Bengalon (90-day plan, weekly review with the GM).</w:t>
      </w:r>
    </w:p>
    <w:p>
      <w:pPr>
        <w:pStyle w:val="ListNumber"/>
      </w:pPr>
      <w:r>
        <w:t>Accelerate dragline reliability and tyre-supply contracts; restore equipment availability to 88% by Q3.</w:t>
      </w:r>
    </w:p>
    <w:p>
      <w:pPr>
        <w:pStyle w:val="ListNumber"/>
      </w:pPr>
      <w:r>
        <w:t>Board paper on FY26 new-energy minerals (nickel + copper) diversification — JV options and capex envelope.</w:t>
      </w:r>
    </w:p>
    <w:p>
      <w:pPr>
        <w:pStyle w:val="Heading1"/>
      </w:pPr>
      <w:r>
        <w:t>Recommended Decision</w:t>
      </w:r>
    </w:p>
    <w:p>
      <w:r>
        <w:t>The Operations Committee is asked to (i) approve the FY26 H2 priorities, (ii) endorse the capex envelope outlined in the appendix, and (iii) authorise the GM to commission a 90-day delivery plan.</w:t>
      </w:r>
    </w:p>
    <w:p>
      <w:pPr>
        <w:pStyle w:val="Heading1"/>
      </w:pPr>
      <w:r>
        <w:t>Risks &amp; Open Questions</w:t>
      </w:r>
    </w:p>
    <w:p>
      <w:pPr>
        <w:pStyle w:val="ListBullet"/>
      </w:pPr>
      <w:r>
        <w:t>Funding envelope confirmation — pending CFO.</w:t>
      </w:r>
    </w:p>
    <w:p>
      <w:pPr>
        <w:pStyle w:val="ListBullet"/>
      </w:pPr>
      <w:r>
        <w:t>Regulatory timeline (where applicable).</w:t>
      </w:r>
    </w:p>
    <w:p>
      <w:pPr>
        <w:pStyle w:val="ListBullet"/>
      </w:pPr>
      <w:r>
        <w:t>Talent availability for accelerated rollout — see HR shortlist.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