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Contoso Legal Playbook</w:t>
      </w:r>
    </w:p>
    <w:p>
      <w:pPr>
        <w:jc w:val="center"/>
      </w:pPr>
      <w:r>
        <w:t>Service Agreements and Property Operations Contracts</w:t>
      </w:r>
    </w:p>
    <w:p>
      <w:pPr>
        <w:jc w:val="center"/>
      </w:pPr>
      <w:r>
        <w:t>Demo document - fictitious data for Microsoft 365 Copilot legal workflow demonstration.</w:t>
      </w:r>
    </w:p>
    <w:p/>
    <w:p>
      <w:pPr>
        <w:pStyle w:val="Heading1"/>
      </w:pPr>
      <w:r>
        <w:t>Review Standard</w:t>
      </w:r>
    </w:p>
    <w:p>
      <w:r>
        <w:t>This playbook defines Contoso's preferred fallback positions for service agreements involving property operations, facilities management, tenant service support, data processing, reporting, and ESG data collection.</w:t>
      </w:r>
    </w:p>
    <w:p>
      <w:pPr>
        <w:pStyle w:val="Heading1"/>
      </w:pPr>
      <w:r>
        <w:t>Clause 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Preferred position</w:t>
            </w:r>
          </w:p>
        </w:tc>
        <w:tc>
          <w:tcPr>
            <w:tcW w:type="dxa" w:w="2160"/>
          </w:tcPr>
          <w:p>
            <w:r>
              <w:t>Fallback</w:t>
            </w:r>
          </w:p>
        </w:tc>
        <w:tc>
          <w:tcPr>
            <w:tcW w:type="dxa" w:w="2160"/>
          </w:tcPr>
          <w:p>
            <w:r>
              <w:t>Escalate if</w:t>
            </w:r>
          </w:p>
        </w:tc>
      </w:tr>
      <w:tr>
        <w:tc>
          <w:tcPr>
            <w:tcW w:type="dxa" w:w="2160"/>
          </w:tcPr>
          <w:p>
            <w:r>
              <w:t>Subcontracting</w:t>
            </w:r>
          </w:p>
        </w:tc>
        <w:tc>
          <w:tcPr>
            <w:tcW w:type="dxa" w:w="2160"/>
          </w:tcPr>
          <w:p>
            <w:r>
              <w:t>Prior written consent for material subcontractors; flow-down obligations required</w:t>
            </w:r>
          </w:p>
        </w:tc>
        <w:tc>
          <w:tcPr>
            <w:tcW w:type="dxa" w:w="2160"/>
          </w:tcPr>
          <w:p>
            <w:r>
              <w:t>Notice plus right to object for critical services</w:t>
            </w:r>
          </w:p>
        </w:tc>
        <w:tc>
          <w:tcPr>
            <w:tcW w:type="dxa" w:w="2160"/>
          </w:tcPr>
          <w:p>
            <w:r>
              <w:t>Unrestricted subcontracting or no flow-down</w:t>
            </w:r>
          </w:p>
        </w:tc>
      </w:tr>
      <w:tr>
        <w:tc>
          <w:tcPr>
            <w:tcW w:type="dxa" w:w="2160"/>
          </w:tcPr>
          <w:p>
            <w:r>
              <w:t>Service credits</w:t>
            </w:r>
          </w:p>
        </w:tc>
        <w:tc>
          <w:tcPr>
            <w:tcW w:type="dxa" w:w="2160"/>
          </w:tcPr>
          <w:p>
            <w:r>
              <w:t>Credits are not sole remedy; chronic failure permits termination</w:t>
            </w:r>
          </w:p>
        </w:tc>
        <w:tc>
          <w:tcPr>
            <w:tcW w:type="dxa" w:w="2160"/>
          </w:tcPr>
          <w:p>
            <w:r>
              <w:t>Sole remedy only for minor SLA misses</w:t>
            </w:r>
          </w:p>
        </w:tc>
        <w:tc>
          <w:tcPr>
            <w:tcW w:type="dxa" w:w="2160"/>
          </w:tcPr>
          <w:p>
            <w:r>
              <w:t>Credits capped below 5% or notice window under 10 business days</w:t>
            </w:r>
          </w:p>
        </w:tc>
      </w:tr>
      <w:tr>
        <w:tc>
          <w:tcPr>
            <w:tcW w:type="dxa" w:w="2160"/>
          </w:tcPr>
          <w:p>
            <w:r>
              <w:t>Indexation</w:t>
            </w:r>
          </w:p>
        </w:tc>
        <w:tc>
          <w:tcPr>
            <w:tcW w:type="dxa" w:w="2160"/>
          </w:tcPr>
          <w:p>
            <w:r>
              <w:t>Annual increase capped at 3% or CPI, whichever is lower</w:t>
            </w:r>
          </w:p>
        </w:tc>
        <w:tc>
          <w:tcPr>
            <w:tcW w:type="dxa" w:w="2160"/>
          </w:tcPr>
          <w:p>
            <w:r>
              <w:t>CPI plus documented wage inflation, capped at 5%</w:t>
            </w:r>
          </w:p>
        </w:tc>
        <w:tc>
          <w:tcPr>
            <w:tcW w:type="dxa" w:w="2160"/>
          </w:tcPr>
          <w:p>
            <w:r>
              <w:t>Provider can choose highest of multiple indices without cap</w:t>
            </w:r>
          </w:p>
        </w:tc>
      </w:tr>
      <w:tr>
        <w:tc>
          <w:tcPr>
            <w:tcW w:type="dxa" w:w="2160"/>
          </w:tcPr>
          <w:p>
            <w:r>
              <w:t>Data protection</w:t>
            </w:r>
          </w:p>
        </w:tc>
        <w:tc>
          <w:tcPr>
            <w:tcW w:type="dxa" w:w="2160"/>
          </w:tcPr>
          <w:p>
            <w:r>
              <w:t>Processing limited to service delivery and documented instructions</w:t>
            </w:r>
          </w:p>
        </w:tc>
        <w:tc>
          <w:tcPr>
            <w:tcW w:type="dxa" w:w="2160"/>
          </w:tcPr>
          <w:p>
            <w:r>
              <w:t>Analytics allowed only with anonymization and written approval</w:t>
            </w:r>
          </w:p>
        </w:tc>
        <w:tc>
          <w:tcPr>
            <w:tcW w:type="dxa" w:w="2160"/>
          </w:tcPr>
          <w:p>
            <w:r>
              <w:t>Product improvement or international transfer is broad or undefined</w:t>
            </w:r>
          </w:p>
        </w:tc>
      </w:tr>
      <w:tr>
        <w:tc>
          <w:tcPr>
            <w:tcW w:type="dxa" w:w="2160"/>
          </w:tcPr>
          <w:p>
            <w:r>
              <w:t>Confidentiality</w:t>
            </w:r>
          </w:p>
        </w:tc>
        <w:tc>
          <w:tcPr>
            <w:tcW w:type="dxa" w:w="2160"/>
          </w:tcPr>
          <w:p>
            <w:r>
              <w:t>At least 5 years; trade secrets indefinite</w:t>
            </w:r>
          </w:p>
        </w:tc>
        <w:tc>
          <w:tcPr>
            <w:tcW w:type="dxa" w:w="2160"/>
          </w:tcPr>
          <w:p>
            <w:r>
              <w:t>3 years only for non-sensitive commercial information</w:t>
            </w:r>
          </w:p>
        </w:tc>
        <w:tc>
          <w:tcPr>
            <w:tcW w:type="dxa" w:w="2160"/>
          </w:tcPr>
          <w:p>
            <w:r>
              <w:t>All confidentiality expires after 3 years</w:t>
            </w:r>
          </w:p>
        </w:tc>
      </w:tr>
      <w:tr>
        <w:tc>
          <w:tcPr>
            <w:tcW w:type="dxa" w:w="2160"/>
          </w:tcPr>
          <w:p>
            <w:r>
              <w:t>Audit</w:t>
            </w:r>
          </w:p>
        </w:tc>
        <w:tc>
          <w:tcPr>
            <w:tcW w:type="dxa" w:w="2160"/>
          </w:tcPr>
          <w:p>
            <w:r>
              <w:t>Annual audit at no charge; additional audit after incident</w:t>
            </w:r>
          </w:p>
        </w:tc>
        <w:tc>
          <w:tcPr>
            <w:tcW w:type="dxa" w:w="2160"/>
          </w:tcPr>
          <w:p>
            <w:r>
              <w:t>Reasonable support fees only for extraordinary requests</w:t>
            </w:r>
          </w:p>
        </w:tc>
        <w:tc>
          <w:tcPr>
            <w:tcW w:type="dxa" w:w="2160"/>
          </w:tcPr>
          <w:p>
            <w:r>
              <w:t>Provider controls scope too narrowly or charges routine audit support</w:t>
            </w:r>
          </w:p>
        </w:tc>
      </w:tr>
      <w:tr>
        <w:tc>
          <w:tcPr>
            <w:tcW w:type="dxa" w:w="2160"/>
          </w:tcPr>
          <w:p>
            <w:r>
              <w:t>Liability</w:t>
            </w:r>
          </w:p>
        </w:tc>
        <w:tc>
          <w:tcPr>
            <w:tcW w:type="dxa" w:w="2160"/>
          </w:tcPr>
          <w:p>
            <w:r>
              <w:t>12 months fees cap; uncapped data protection, confidentiality, fraud, willful misconduct</w:t>
            </w:r>
          </w:p>
        </w:tc>
        <w:tc>
          <w:tcPr>
            <w:tcW w:type="dxa" w:w="2160"/>
          </w:tcPr>
          <w:p>
            <w:r>
              <w:t>6 months cap; carve-outs preserved</w:t>
            </w:r>
          </w:p>
        </w:tc>
        <w:tc>
          <w:tcPr>
            <w:tcW w:type="dxa" w:w="2160"/>
          </w:tcPr>
          <w:p>
            <w:r>
              <w:t>3 months cap or cap covers data/security/confidentiality</w:t>
            </w:r>
          </w:p>
        </w:tc>
      </w:tr>
      <w:tr>
        <w:tc>
          <w:tcPr>
            <w:tcW w:type="dxa" w:w="2160"/>
          </w:tcPr>
          <w:p>
            <w:r>
              <w:t>Termination</w:t>
            </w:r>
          </w:p>
        </w:tc>
        <w:tc>
          <w:tcPr>
            <w:tcW w:type="dxa" w:w="2160"/>
          </w:tcPr>
          <w:p>
            <w:r>
              <w:t>30-day cure for material breach; convenience termination without punitive fee after transition</w:t>
            </w:r>
          </w:p>
        </w:tc>
        <w:tc>
          <w:tcPr>
            <w:tcW w:type="dxa" w:w="2160"/>
          </w:tcPr>
          <w:p>
            <w:r>
              <w:t>60-day cure only for non-critical breaches</w:t>
            </w:r>
          </w:p>
        </w:tc>
        <w:tc>
          <w:tcPr>
            <w:tcW w:type="dxa" w:w="2160"/>
          </w:tcPr>
          <w:p>
            <w:r>
              <w:t>Early termination fee exceeds 3 months fees</w:t>
            </w:r>
          </w:p>
        </w:tc>
      </w:tr>
      <w:tr>
        <w:tc>
          <w:tcPr>
            <w:tcW w:type="dxa" w:w="2160"/>
          </w:tcPr>
          <w:p>
            <w:r>
              <w:t>Governing law</w:t>
            </w:r>
          </w:p>
        </w:tc>
        <w:tc>
          <w:tcPr>
            <w:tcW w:type="dxa" w:w="2160"/>
          </w:tcPr>
          <w:p>
            <w:r>
              <w:t>Local law of main service location or mutually neutral EU forum</w:t>
            </w:r>
          </w:p>
        </w:tc>
        <w:tc>
          <w:tcPr>
            <w:tcW w:type="dxa" w:w="2160"/>
          </w:tcPr>
          <w:p>
            <w:r>
              <w:t>England and Wales acceptable only with EU data protection safeguards</w:t>
            </w:r>
          </w:p>
        </w:tc>
        <w:tc>
          <w:tcPr>
            <w:tcW w:type="dxa" w:w="2160"/>
          </w:tcPr>
          <w:p>
            <w:r>
              <w:t>Forum creates material enforcement or cost disadvantage</w:t>
            </w:r>
          </w:p>
        </w:tc>
      </w:tr>
      <w:tr>
        <w:tc>
          <w:tcPr>
            <w:tcW w:type="dxa" w:w="2160"/>
          </w:tcPr>
          <w:p>
            <w:r>
              <w:t>AI use</w:t>
            </w:r>
          </w:p>
        </w:tc>
        <w:tc>
          <w:tcPr>
            <w:tcW w:type="dxa" w:w="2160"/>
          </w:tcPr>
          <w:p>
            <w:r>
              <w:t>AI use disclosed; no confidential data in external AI without approval; human review mandatory</w:t>
            </w:r>
          </w:p>
        </w:tc>
        <w:tc>
          <w:tcPr>
            <w:tcW w:type="dxa" w:w="2160"/>
          </w:tcPr>
          <w:p>
            <w:r>
              <w:t>Approved AI tools only; audit trail retained</w:t>
            </w:r>
          </w:p>
        </w:tc>
        <w:tc>
          <w:tcPr>
            <w:tcW w:type="dxa" w:w="2160"/>
          </w:tcPr>
          <w:p>
            <w:r>
              <w:t>Broad AI use with no tool, data, or review controls</w:t>
            </w:r>
          </w:p>
        </w:tc>
      </w:tr>
    </w:tbl>
    <w:p>
      <w:pPr>
        <w:pStyle w:val="Heading1"/>
      </w:pPr>
      <w:r>
        <w:t>Negotiation Instructions</w:t>
      </w:r>
    </w:p>
    <w:p>
      <w:pPr>
        <w:pStyle w:val="ListBullet"/>
      </w:pPr>
      <w:r>
        <w:t>Preserve tracked changes when proposing edits.</w:t>
      </w:r>
    </w:p>
    <w:p>
      <w:pPr>
        <w:pStyle w:val="ListBullet"/>
      </w:pPr>
      <w:r>
        <w:t>Add comments where business owner input is needed.</w:t>
      </w:r>
    </w:p>
    <w:p>
      <w:pPr>
        <w:pStyle w:val="ListBullet"/>
      </w:pPr>
      <w:r>
        <w:t>Do not provide legal advice as final determination; create review notes for counsel.</w:t>
      </w:r>
    </w:p>
    <w:p>
      <w:pPr>
        <w:pStyle w:val="ListBullet"/>
      </w:pPr>
      <w:r>
        <w:t>Prioritize data protection, liability, audit, and termination provisions.</w:t>
      </w:r>
    </w:p>
    <w:p>
      <w:pPr>
        <w:pStyle w:val="ListBullet"/>
      </w:pPr>
      <w:r>
        <w:t>For AI use clauses, require approved tools, human review, and no broad product-improvement use of confidential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