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Counterparty Position Memo</w:t>
      </w:r>
    </w:p>
    <w:p>
      <w:pPr>
        <w:jc w:val="center"/>
      </w:pPr>
      <w:r>
        <w:t>Northwind negotiation context for the property services agreement</w:t>
      </w:r>
    </w:p>
    <w:p>
      <w:pPr>
        <w:jc w:val="center"/>
      </w:pPr>
      <w:r>
        <w:t>Demo document - fictitious data for Microsoft 365 Copilot legal workflow demonstration.</w:t>
      </w:r>
    </w:p>
    <w:p/>
    <w:p>
      <w:pPr>
        <w:pStyle w:val="Heading1"/>
      </w:pPr>
      <w:r>
        <w:t>Commercial Context</w:t>
      </w:r>
    </w:p>
    <w:p>
      <w:r>
        <w:t>Northwind is the incumbent property operations provider for 29 of the 72 properties. The business wants a fast signature before the new reporting cycle starts on 1 July 2026. Procurement is comfortable with the annual fee but has concerns about indexation, pass-through costs, and termination fees.</w:t>
      </w:r>
    </w:p>
    <w:p>
      <w:pPr>
        <w:pStyle w:val="Heading1"/>
      </w:pPr>
      <w:r>
        <w:t>Known Business Concerns</w:t>
      </w:r>
    </w:p>
    <w:p>
      <w:pPr>
        <w:pStyle w:val="ListBullet"/>
      </w:pPr>
      <w:r>
        <w:t>Facilities team wants flexibility to add ESG reporting without a full change request each time.</w:t>
      </w:r>
    </w:p>
    <w:p>
      <w:pPr>
        <w:pStyle w:val="ListBullet"/>
      </w:pPr>
      <w:r>
        <w:t>Finance wants stronger audit support during month-end service charge reconciliation.</w:t>
      </w:r>
    </w:p>
    <w:p>
      <w:pPr>
        <w:pStyle w:val="ListBullet"/>
      </w:pPr>
      <w:r>
        <w:t>IT security wants approval rights over AI tooling and subcontractor platforms.</w:t>
      </w:r>
    </w:p>
    <w:p>
      <w:pPr>
        <w:pStyle w:val="ListBullet"/>
      </w:pPr>
      <w:r>
        <w:t>Asset management can accept England and Wales law if data protection and audit controls are strengthened.</w:t>
      </w:r>
    </w:p>
    <w:p>
      <w:pPr>
        <w:pStyle w:val="ListBullet"/>
      </w:pPr>
      <w:r>
        <w:t>CFO will not accept a three-month liability cap if it also covers confidentiality or data incidents.</w:t>
      </w:r>
    </w:p>
    <w:p>
      <w:pPr>
        <w:pStyle w:val="Heading1"/>
      </w:pPr>
      <w:r>
        <w:t>Requested Output</w:t>
      </w:r>
    </w:p>
    <w:p>
      <w:r>
        <w:t>Legal should produce a clause risk summary, negotiation redlines, and a concise executive recommendation for the signature meeting.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