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Fargo Outbound Disruption Playbook</w:t>
      </w:r>
    </w:p>
    <w:p>
      <w:r>
        <w:t>Contoso Distribution Center Fargo - Response rules for incidents on the dock and gate</w:t>
      </w:r>
    </w:p>
    <w:p>
      <w:r>
        <w:rPr>
          <w:i/>
        </w:rPr>
        <w:t>Synthetic demo data - fictional organization.</w:t>
      </w:r>
    </w:p>
    <w:p>
      <w:pPr>
        <w:pStyle w:val="Heading1"/>
      </w:pPr>
      <w:r>
        <w:t>1. Severity levels</w:t>
      </w:r>
    </w:p>
    <w:p>
      <w:r>
        <w:t>SEV-1: safety risk to people, or the whole outbound operation is stopped. Immediate call to the site lead.</w:t>
      </w:r>
    </w:p>
    <w:p>
      <w:r>
        <w:t>SEV-2: a gate, dock or system is down or degraded, trucks are delayed, no safety impact. First status within 30 minutes.</w:t>
      </w:r>
    </w:p>
    <w:p>
      <w:r>
        <w:t>SEV-3: local disruption with a workaround. Status at the end of the shift.</w:t>
      </w:r>
    </w:p>
    <w:p>
      <w:pPr>
        <w:pStyle w:val="Heading1"/>
      </w:pPr>
      <w:r>
        <w:t>2. Roles</w:t>
      </w:r>
    </w:p>
    <w:p>
      <w:r>
        <w:t>Incident lead: Teresa Sac, logistics Fargo.</w:t>
      </w:r>
    </w:p>
    <w:p>
      <w:r>
        <w:t>IT on call (scanners, Wi-Fi, gate systems): Billie Vester.</w:t>
      </w:r>
    </w:p>
    <w:p>
      <w:r>
        <w:t>Safety: Sonia Rees. Informed on every SEV-1 and on every SEV-2 that involves trucks on site.</w:t>
      </w:r>
    </w:p>
    <w:p>
      <w:r>
        <w:t>Construction interface (new wing, Dock 3): Vance DeLeon.</w:t>
      </w:r>
    </w:p>
    <w:p>
      <w:r>
        <w:t>Regional operations: Sydney Mattos. Informed on every SEV-2 and SEV-1.</w:t>
      </w:r>
    </w:p>
    <w:p>
      <w:pPr>
        <w:pStyle w:val="Heading1"/>
      </w:pPr>
      <w:r>
        <w:t>3. Communication rules</w:t>
      </w:r>
    </w:p>
    <w:p>
      <w:r>
        <w:t>A status update names impact, known facts, open questions and the time of the next update. Facts that are not confirmed are marked as open.</w:t>
      </w:r>
    </w:p>
    <w:p>
      <w:r>
        <w:t>Internal updates go to the logistics team channel and to the stakeholders by email. External customers are informed only after approval by the incident lead.</w:t>
      </w:r>
    </w:p>
    <w:p>
      <w:r>
        <w:t>Update cadence for SEV-2: every 45 minutes until the incident is resolved.</w:t>
      </w:r>
    </w:p>
    <w:p>
      <w:r>
        <w:t>Nothing is sent or posted without the approval of the incident lead.</w:t>
      </w:r>
    </w:p>
    <w:p>
      <w:pPr>
        <w:pStyle w:val="Heading1"/>
      </w:pPr>
      <w:r>
        <w:t>4. Customer commitments</w:t>
      </w:r>
    </w:p>
    <w:p>
      <w:r>
        <w:t>Orders with a customer cutoff in the next two hours and a service penalty are escalated first (see the affected shipments list).</w:t>
      </w:r>
    </w:p>
    <w:p>
      <w:r>
        <w:t>Tailspin Toys and Woodgrove Bank have contractual on-time commitments of 95 percent per month.</w:t>
      </w:r>
    </w:p>
    <w:p>
      <w:pPr>
        <w:pStyle w:val="Heading1"/>
      </w:pPr>
      <w:r>
        <w:t>5. After the incident</w:t>
      </w:r>
    </w:p>
    <w:p>
      <w:r>
        <w:t>A short review within two working days: timeline, impact in shipments, what worked, what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2027-03-01T08:00:00Z</dcterms:created>
  <dcterms:modified xsi:type="dcterms:W3CDTF">2027-03-01T08:00:00Z</dcterms:modified>
  <cp:category/>
  <cp:lastPrinted>2027-03-01T08:00:00Z</cp:lastPrinted>
</cp:coreProperties>
</file>