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WIQ-D21 / Andere Sendung - nicht WIQ26</w:t>
      </w:r>
    </w:p>
    <w:p>
      <w:r>
        <w:t>CONTOSO | SYNTHETIC TRAINING DATA</w:t>
      </w:r>
    </w:p>
    <w:p>
      <w:pPr>
        <w:pStyle w:val="Heading1"/>
      </w:pPr>
      <w:r>
        <w:t>WIQ26 | Nachweis</w:t>
      </w:r>
    </w:p>
    <w:p>
      <w:r>
        <w:t>Nur Vergleichsmaterial: fiktive Contoso-Sendung CP-2005, Rotterdam, drei Container, in einer anderen Übung abgeschlossen. Dies ist NICHT CT-1005 und belegt keine Freigabe oder Lieferung für WIQ26.</w:t>
      </w:r>
    </w:p>
    <w:p>
      <w:pPr>
        <w:pStyle w:val="Heading1"/>
      </w:pPr>
      <w:r>
        <w:t>Übungszeit</w:t>
      </w:r>
    </w:p>
    <w:p>
      <w:r>
        <w:t>Montag und Uhrzeiten beschreiben die fiktive Reihenfolge der Übung, nicht das heutige Datum. Für die Generalprobe gilt die wirkliche WIQ26-Kalendereinladung. Dies ist kein Besprechungstranskript.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WIQ-D21 / Andere Sendung - nicht WIQ26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