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Fabrikam QBR - source notes</w:t>
      </w:r>
    </w:p>
    <w:p>
      <w:r>
        <w:t>CONTOSO | SYNTHETIC TRAINING DATA | Not operational, legal or safety advice.</w:t>
      </w:r>
    </w:p>
    <w:p>
      <w:pPr>
        <w:pStyle w:val="Heading1"/>
      </w:pPr>
      <w:r>
        <w:t>Agenda</w:t>
      </w:r>
    </w:p>
    <w:p>
      <w:r>
        <w:t>Review service exceptions, D&amp;D invoice variance, open issues and next-quarter actions.</w:t>
      </w:r>
    </w:p>
    <w:p>
      <w:pPr>
        <w:pStyle w:val="Heading1"/>
      </w:pPr>
      <w:r>
        <w:t>Highlights</w:t>
      </w:r>
    </w:p>
    <w:p>
      <w:r>
        <w:t>Fabrikam has one Contoso Star booking (4711, four containers). ETA 30 October 2026 14:00 UTC; delivery unconfirmed. Teresa drafts the notice; Billie checks the portal.</w:t>
      </w:r>
    </w:p>
    <w:p>
      <w:pPr>
        <w:pStyle w:val="Heading1"/>
      </w:pPr>
      <w:r>
        <w:t>D&amp;D variance</w:t>
      </w:r>
    </w:p>
    <w:p>
      <w:r>
        <w:t>Fabrikam contracted EUR 12,400, billed EUR 13,950. Use the workbook for the six-customer comparison. The difference is not an approved credit.</w:t>
      </w:r>
    </w:p>
    <w:p>
      <w:pPr>
        <w:pStyle w:val="Heading1"/>
      </w:pPr>
      <w:r>
        <w:t>Open issues</w:t>
      </w:r>
    </w:p>
    <w:p>
      <w:r>
        <w:t>Missing contact phone on booking 4711; carrier delivery confirmation pending; invoice causes not yet validated. Sonia coordinates specialist review.</w:t>
      </w:r>
    </w:p>
    <w:p>
      <w:pPr>
        <w:pStyle w:val="Heading1"/>
      </w:pPr>
      <w:r>
        <w:t>Next steps</w:t>
      </w:r>
    </w:p>
    <w:p>
      <w:r>
        <w:t>Review customer notice before sending. Validate billing evidence before proposing a correction. Keep owners and next evidence visible. No live customer or billing system changes.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Fabrikam QBR - source notes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