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0B3D91"/>
          <w:sz w:val="40"/>
        </w:rPr>
        <w:t>Fargo go-live · night shift handover</w:t>
      </w:r>
    </w:p>
    <w:p>
      <w:pPr>
        <w:jc w:val="center"/>
      </w:pPr>
      <w:r>
        <w:rPr>
          <w:i/>
        </w:rPr>
        <w:t>Template for supervisors · Contoso distribution center</w:t>
      </w:r>
    </w:p>
    <w:p>
      <w:pPr>
        <w:pStyle w:val="Heading1"/>
      </w:pPr>
      <w:r>
        <w:t>Shift context</w:t>
      </w:r>
    </w:p>
    <w:p>
      <w:pPr>
        <w:pStyle w:val="ListBullet"/>
      </w:pPr>
      <w:r>
        <w:t>Dock 3 closed; inbound uses Dock 2 unless a specific Gate 4 slot is confirmed.</w:t>
      </w:r>
    </w:p>
    <w:p>
      <w:pPr>
        <w:pStyle w:val="ListBullet"/>
      </w:pPr>
      <w:r>
        <w:t>Gate 4 floor markings must be clear before carriers enter the area.</w:t>
      </w:r>
    </w:p>
    <w:p>
      <w:pPr>
        <w:pStyle w:val="ListBullet"/>
      </w:pPr>
      <w:r>
        <w:t>Northwind before-hours arrival needs a Safety exception and a Dock 2 marshal.</w:t>
      </w:r>
    </w:p>
    <w:p>
      <w:pPr>
        <w:pStyle w:val="Heading1"/>
      </w:pPr>
      <w:r>
        <w:t>Checklist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Area</w:t>
            </w:r>
          </w:p>
        </w:tc>
        <w:tc>
          <w:tcPr>
            <w:tcW w:type="dxa" w:w="2160"/>
          </w:tcPr>
          <w:p>
            <w:r>
              <w:t>Check</w:t>
            </w:r>
          </w:p>
        </w:tc>
        <w:tc>
          <w:tcPr>
            <w:tcW w:type="dxa" w:w="2160"/>
          </w:tcPr>
          <w:p>
            <w:r>
              <w:t>Owner</w:t>
            </w:r>
          </w:p>
        </w:tc>
        <w:tc>
          <w:tcPr>
            <w:tcW w:type="dxa" w:w="2160"/>
          </w:tcPr>
          <w:p>
            <w:r>
              <w:t>Done</w:t>
            </w:r>
          </w:p>
        </w:tc>
      </w:tr>
      <w:tr>
        <w:tc>
          <w:tcPr>
            <w:tcW w:type="dxa" w:w="2160"/>
          </w:tcPr>
          <w:p>
            <w:r>
              <w:t>Inbound</w:t>
            </w:r>
          </w:p>
        </w:tc>
        <w:tc>
          <w:tcPr>
            <w:tcW w:type="dxa" w:w="2160"/>
          </w:tcPr>
          <w:p>
            <w:r>
              <w:t>Confirm Dock 2 slots for Apr 27–29</w:t>
            </w:r>
          </w:p>
        </w:tc>
        <w:tc>
          <w:tcPr>
            <w:tcW w:type="dxa" w:w="2160"/>
          </w:tcPr>
          <w:p>
            <w:r>
              <w:t>Megan</w:t>
            </w:r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Safety</w:t>
            </w:r>
          </w:p>
        </w:tc>
        <w:tc>
          <w:tcPr>
            <w:tcW w:type="dxa" w:w="2160"/>
          </w:tcPr>
          <w:p>
            <w:r>
              <w:t>Attach marshal plan to Northwind exception</w:t>
            </w:r>
          </w:p>
        </w:tc>
        <w:tc>
          <w:tcPr>
            <w:tcW w:type="dxa" w:w="2160"/>
          </w:tcPr>
          <w:p>
            <w:r>
              <w:t>Anne</w:t>
            </w:r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Construction</w:t>
            </w:r>
          </w:p>
        </w:tc>
        <w:tc>
          <w:tcPr>
            <w:tcW w:type="dxa" w:w="2160"/>
          </w:tcPr>
          <w:p>
            <w:r>
              <w:t>Confirm Gate 4 markings are open</w:t>
            </w:r>
          </w:p>
        </w:tc>
        <w:tc>
          <w:tcPr>
            <w:tcW w:type="dxa" w:w="2160"/>
          </w:tcPr>
          <w:p>
            <w:r>
              <w:t>Riley</w:t>
            </w:r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IT</w:t>
            </w:r>
          </w:p>
        </w:tc>
        <w:tc>
          <w:tcPr>
            <w:tcW w:type="dxa" w:w="2160"/>
          </w:tcPr>
          <w:p>
            <w:r>
              <w:t>Escalate if electrical sign-off moves after May 22</w:t>
            </w:r>
          </w:p>
        </w:tc>
        <w:tc>
          <w:tcPr>
            <w:tcW w:type="dxa" w:w="2160"/>
          </w:tcPr>
          <w:p>
            <w:r>
              <w:t>Alex</w:t>
            </w:r>
          </w:p>
        </w:tc>
        <w:tc>
          <w:tcPr>
            <w:tcW w:type="dxa" w:w="2160"/>
          </w:tcPr>
          <w:p>
            <w:r>
              <w:t>☐</w:t>
            </w:r>
          </w:p>
        </w:tc>
      </w:tr>
      <w:tr>
        <w:tc>
          <w:tcPr>
            <w:tcW w:type="dxa" w:w="2160"/>
          </w:tcPr>
          <w:p>
            <w:r>
              <w:t>Ops</w:t>
            </w:r>
          </w:p>
        </w:tc>
        <w:tc>
          <w:tcPr>
            <w:tcW w:type="dxa" w:w="2160"/>
          </w:tcPr>
          <w:p>
            <w:r>
              <w:t>Update readiness tracker before 06:00</w:t>
            </w:r>
          </w:p>
        </w:tc>
        <w:tc>
          <w:tcPr>
            <w:tcW w:type="dxa" w:w="2160"/>
          </w:tcPr>
          <w:p>
            <w:r>
              <w:t>Ops lead</w:t>
            </w:r>
          </w:p>
        </w:tc>
        <w:tc>
          <w:tcPr>
            <w:tcW w:type="dxa" w:w="2160"/>
          </w:tcPr>
          <w:p>
            <w:r>
              <w:t>☐</w:t>
            </w:r>
          </w:p>
        </w:tc>
      </w:tr>
    </w:tbl>
    <w:p>
      <w:pPr>
        <w:pStyle w:val="Heading1"/>
      </w:pPr>
      <w:r>
        <w:t>Open handoff notes</w:t>
      </w:r>
    </w:p>
    <w:p>
      <w:r>
        <w:t>Use this section for exceptions, carrier delays, and supervisor decisions before the morning stand-up.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B3D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B3D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0B3D9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