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Highly Confidential – Fargo M&amp;A note</w:t>
      </w:r>
    </w:p>
    <w:p>
      <w:r>
        <w:t>Classification to apply in the demo tenant: Highly Confidential</w:t>
      </w:r>
    </w:p>
    <w:p>
      <w:r>
        <w:rPr>
          <w:b/>
        </w:rPr>
        <w:t>Demo-only fictional content. Do not use with real company data.</w:t>
      </w:r>
    </w:p>
    <w:p>
      <w:pPr>
        <w:pStyle w:val="Heading1"/>
      </w:pPr>
      <w:r>
        <w:t>Board-prep note</w:t>
      </w:r>
    </w:p>
    <w:p>
      <w:pPr>
        <w:pStyle w:val="ListBullet"/>
      </w:pPr>
      <w:r>
        <w:t>Contoso is evaluating a fictional warehouse services acquisition in the Upper Midwest.</w:t>
      </w:r>
    </w:p>
    <w:p>
      <w:pPr>
        <w:pStyle w:val="ListBullet"/>
      </w:pPr>
      <w:r>
        <w:t>Early diligence estimate: integration costs could reach USD 2.8M over 18 months.</w:t>
      </w:r>
    </w:p>
    <w:p>
      <w:pPr>
        <w:pStyle w:val="ListBullet"/>
      </w:pPr>
      <w:r>
        <w:t>No employee communication before the board decides whether to proceed.</w:t>
      </w:r>
    </w:p>
    <w:p>
      <w:pPr>
        <w:pStyle w:val="ListBullet"/>
      </w:pPr>
      <w:r>
        <w:t>This note must not be summarized by Copilot in the live demo once the DLP policy is enabled.</w:t>
      </w:r>
    </w:p>
    <w:p>
      <w:pPr>
        <w:pStyle w:val="Heading1"/>
      </w:pPr>
      <w:r>
        <w:t>Why it is in the demo</w:t>
      </w:r>
    </w:p>
    <w:p>
      <w:r>
        <w:t>The presenter references this file in Copilot after labeling it Highly Confidential. The expected result is that Copilot excludes or refuses to process it because of the Purview DLP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