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3D91"/>
          <w:sz w:val="40"/>
        </w:rPr>
        <w:t>Fargo go-live · night shift handover</w:t>
      </w:r>
    </w:p>
    <w:p>
      <w:pPr>
        <w:jc w:val="center"/>
      </w:pPr>
      <w:r>
        <w:rPr>
          <w:i/>
        </w:rPr>
        <w:t>Template for supervisors · Contoso distribution center</w:t>
      </w:r>
    </w:p>
    <w:p>
      <w:pPr>
        <w:pStyle w:val="Heading1"/>
      </w:pPr>
      <w:r>
        <w:t>Shift context</w:t>
      </w:r>
    </w:p>
    <w:p>
      <w:pPr>
        <w:pStyle w:val="ListBullet"/>
      </w:pPr>
      <w:r>
        <w:t>Dock 3 closed; inbound uses Dock 2 unless a specific Gate 4 slot is confirmed.</w:t>
      </w:r>
    </w:p>
    <w:p>
      <w:pPr>
        <w:pStyle w:val="ListBullet"/>
      </w:pPr>
      <w:r>
        <w:t>Gate 4 floor markings must be clear before carriers enter the area.</w:t>
      </w:r>
    </w:p>
    <w:p>
      <w:pPr>
        <w:pStyle w:val="ListBullet"/>
      </w:pPr>
      <w:r>
        <w:t>Northwind before-hours arrival needs a Safety exception and a Dock 2 marshal.</w:t>
      </w:r>
    </w:p>
    <w:p>
      <w:pPr>
        <w:pStyle w:val="Heading1"/>
      </w:pPr>
      <w: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Confirm Dock 2 slots for Apr 27–29</w:t>
            </w:r>
          </w:p>
        </w:tc>
        <w:tc>
          <w:tcPr>
            <w:tcW w:type="dxa" w:w="2160"/>
          </w:tcPr>
          <w:p>
            <w:r>
              <w:t>Teresa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Safety</w:t>
            </w:r>
          </w:p>
        </w:tc>
        <w:tc>
          <w:tcPr>
            <w:tcW w:type="dxa" w:w="2160"/>
          </w:tcPr>
          <w:p>
            <w:r>
              <w:t>Attach marshal plan to Northwind exception</w:t>
            </w:r>
          </w:p>
        </w:tc>
        <w:tc>
          <w:tcPr>
            <w:tcW w:type="dxa" w:w="2160"/>
          </w:tcPr>
          <w:p>
            <w:r>
              <w:t>Sonia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Construction</w:t>
            </w:r>
          </w:p>
        </w:tc>
        <w:tc>
          <w:tcPr>
            <w:tcW w:type="dxa" w:w="2160"/>
          </w:tcPr>
          <w:p>
            <w:r>
              <w:t>Confirm Gate 4 markings are open</w:t>
            </w:r>
          </w:p>
        </w:tc>
        <w:tc>
          <w:tcPr>
            <w:tcW w:type="dxa" w:w="2160"/>
          </w:tcPr>
          <w:p>
            <w:r>
              <w:t>Vance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Escalate if electrical sign-off moves after May 22</w:t>
            </w:r>
          </w:p>
        </w:tc>
        <w:tc>
          <w:tcPr>
            <w:tcW w:type="dxa" w:w="2160"/>
          </w:tcPr>
          <w:p>
            <w:r>
              <w:t>Billie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Update readiness tracker before 06:00</w:t>
            </w:r>
          </w:p>
        </w:tc>
        <w:tc>
          <w:tcPr>
            <w:tcW w:type="dxa" w:w="2160"/>
          </w:tcPr>
          <w:p>
            <w:r>
              <w:t>Ops lead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1"/>
      </w:pPr>
      <w:r>
        <w:t>Open handoff notes</w:t>
      </w:r>
    </w:p>
    <w:p>
      <w:r>
        <w:t>Use this section for exceptions, carrier delays, and supervisor decisions before the morning stand-up.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