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Morning Papers</w:t>
      </w:r>
    </w:p>
    <w:p>
      <w:r>
        <w:t>Contoso | EAD26</w:t>
      </w:r>
    </w:p>
    <w:p>
      <w:r>
        <w:rPr>
          <w:i/>
        </w:rPr>
        <w:t>Synthetische Geschäftsquelle, kein Cowork-Ergebnis.</w:t>
      </w:r>
    </w:p>
    <w:p>
      <w:pPr>
        <w:pStyle w:val="Heading1"/>
      </w:pPr>
      <w:r>
        <w:t>Quellenvermerk</w:t>
      </w:r>
    </w:p>
    <w:p>
      <w:r>
        <w:t>Nur MORGEN-Quellen. 19. Oktober 2026, 08:20 Europe/Berlin.</w:t>
      </w:r>
    </w:p>
    <w:p>
      <w:r>
        <w:t>Planannahme 17. Oktober: Fabrikam-Ersatzkapazität 72.000 EUR, fünf Tage Vorlauf; Entscheidung für 20. Oktober geplant.</w:t>
      </w:r>
    </w:p>
    <w:p>
      <w:r>
        <w:t>Aktualisiertes Angebot 19. Oktober 08:15: 88.000 EUR, acht Tage Vorlauf. Kein Auftrag erteilt. Teresa braucht die Optionsentscheidung bis 09:30 am 19. Oktober, bevor die Kapazitätszuordnung schließt. Betrag ist keine Freigabe.</w:t>
      </w:r>
    </w:p>
    <w:p>
      <w:r>
        <w:t>Billies interne Notiz 08:20: Scannerverbindung im synthetischen Szenario getestet; Barrierefreiheit ist ein anderer Vorgang ohne Abschlussbeleg hier. Vance braucht ein persönliches Gespräch über operative Folgen. Keine Nachmittagsentscheidungen verfügbar.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