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Previous</w:t>
      </w:r>
    </w:p>
    <w:p>
      <w:r>
        <w:t>Contoso | EAD26</w:t>
      </w:r>
    </w:p>
    <w:p>
      <w:r>
        <w:rPr>
          <w:i/>
        </w:rPr>
        <w:t>Synthetische Geschäftsquelle, kein Cowork-Ergebnis.</w:t>
      </w:r>
    </w:p>
    <w:p>
      <w:pPr>
        <w:pStyle w:val="Heading1"/>
      </w:pPr>
      <w:r>
        <w:t>Quellenvermerk</w:t>
      </w:r>
    </w:p>
    <w:p>
      <w:r>
        <w:t>Ausgangsstand Lieferantenreview, 1. Oktober 2026. Berichtszeitraum September: 96 Prozent pünktlich; sechs ungelöste Qualitätsfälle zum Monatsende. Vorschlag: unverändert verlängern. Frühere Bewertung, keine heutige Freigabe.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