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 Previous</w:t>
      </w:r>
    </w:p>
    <w:p>
      <w:r>
        <w:t>Contoso | EAD26</w:t>
      </w:r>
    </w:p>
    <w:p>
      <w:r>
        <w:rPr>
          <w:i/>
        </w:rPr>
        <w:t>Synthetic business source, not a Cowork result.</w:t>
      </w:r>
    </w:p>
    <w:p>
      <w:pPr>
        <w:pStyle w:val="Heading1"/>
      </w:pPr>
      <w:r>
        <w:t>Source record</w:t>
      </w:r>
    </w:p>
    <w:p>
      <w:r>
        <w:t>Supplier service review baseline, 1 October 2026. September reporting period: 96% on-time delivery; six unresolved quality issues at period close. Proposal: renew unchanged. This is the earlier assessment, not today's approval.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