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FC74" w14:textId="77777777" w:rsidR="00DB201D" w:rsidRDefault="00DB201D" w:rsidP="00DB201D">
      <w:pPr>
        <w:pStyle w:val="Header"/>
        <w:jc w:val="center"/>
        <w:rPr>
          <w:rFonts w:ascii="Times New Roman" w:hAnsi="Times New Roman" w:cs="Times New Roman"/>
          <w:b/>
          <w:bCs/>
        </w:rPr>
      </w:pPr>
    </w:p>
    <w:p w14:paraId="0F2D9FE1" w14:textId="77777777" w:rsidR="00DB201D" w:rsidRDefault="00DB201D" w:rsidP="00DB201D">
      <w:pPr>
        <w:pStyle w:val="Header"/>
        <w:jc w:val="center"/>
        <w:rPr>
          <w:rFonts w:ascii="Times New Roman" w:hAnsi="Times New Roman" w:cs="Times New Roman"/>
          <w:b/>
          <w:bCs/>
        </w:rPr>
      </w:pPr>
    </w:p>
    <w:p w14:paraId="1C501FE4" w14:textId="77777777" w:rsidR="00DB201D" w:rsidRDefault="00DB201D" w:rsidP="00DB201D">
      <w:pPr>
        <w:pStyle w:val="Header"/>
        <w:jc w:val="center"/>
        <w:rPr>
          <w:rFonts w:ascii="Times New Roman" w:hAnsi="Times New Roman" w:cs="Times New Roman"/>
          <w:b/>
          <w:bCs/>
        </w:rPr>
      </w:pPr>
    </w:p>
    <w:p w14:paraId="767095E1" w14:textId="77777777" w:rsidR="00DB201D" w:rsidRDefault="00DB201D" w:rsidP="00DB201D">
      <w:pPr>
        <w:pStyle w:val="Header"/>
        <w:jc w:val="center"/>
        <w:rPr>
          <w:rFonts w:ascii="Times New Roman" w:hAnsi="Times New Roman" w:cs="Times New Roman"/>
          <w:b/>
          <w:bCs/>
        </w:rPr>
      </w:pPr>
    </w:p>
    <w:p w14:paraId="30BC72AE" w14:textId="77777777" w:rsidR="00DB201D" w:rsidRDefault="00DB201D" w:rsidP="00DB201D">
      <w:pPr>
        <w:pStyle w:val="Header"/>
        <w:jc w:val="center"/>
        <w:rPr>
          <w:rFonts w:ascii="Times New Roman" w:hAnsi="Times New Roman" w:cs="Times New Roman"/>
          <w:b/>
          <w:bCs/>
        </w:rPr>
      </w:pPr>
    </w:p>
    <w:p w14:paraId="2F55985B" w14:textId="77777777" w:rsidR="00DB201D" w:rsidRDefault="00DB201D" w:rsidP="00DB201D">
      <w:pPr>
        <w:pStyle w:val="Header"/>
        <w:jc w:val="center"/>
        <w:rPr>
          <w:rFonts w:ascii="Times New Roman" w:hAnsi="Times New Roman" w:cs="Times New Roman"/>
          <w:b/>
          <w:bCs/>
        </w:rPr>
      </w:pPr>
    </w:p>
    <w:p w14:paraId="24079FB9" w14:textId="77777777" w:rsidR="00DB201D" w:rsidRDefault="00DB201D" w:rsidP="00DB201D">
      <w:pPr>
        <w:pStyle w:val="Header"/>
        <w:jc w:val="center"/>
        <w:rPr>
          <w:rFonts w:ascii="Times New Roman" w:hAnsi="Times New Roman" w:cs="Times New Roman"/>
          <w:b/>
          <w:bCs/>
        </w:rPr>
      </w:pPr>
    </w:p>
    <w:p w14:paraId="063FBE1B" w14:textId="77777777" w:rsidR="00DB201D" w:rsidRDefault="00DB201D" w:rsidP="00DB201D">
      <w:pPr>
        <w:pStyle w:val="Header"/>
        <w:jc w:val="center"/>
        <w:rPr>
          <w:rFonts w:ascii="Times New Roman" w:hAnsi="Times New Roman" w:cs="Times New Roman"/>
          <w:b/>
          <w:bCs/>
        </w:rPr>
      </w:pPr>
    </w:p>
    <w:p w14:paraId="231BF2C0" w14:textId="77777777" w:rsidR="00DB201D" w:rsidRDefault="00DB201D" w:rsidP="00DB201D">
      <w:pPr>
        <w:pStyle w:val="Header"/>
        <w:jc w:val="center"/>
        <w:rPr>
          <w:rFonts w:ascii="Times New Roman" w:hAnsi="Times New Roman" w:cs="Times New Roman"/>
          <w:b/>
          <w:bCs/>
        </w:rPr>
      </w:pPr>
    </w:p>
    <w:p w14:paraId="62DCAC8D" w14:textId="77777777" w:rsidR="00DB201D" w:rsidRDefault="00DB201D" w:rsidP="00DB201D">
      <w:pPr>
        <w:pStyle w:val="Header"/>
        <w:jc w:val="center"/>
        <w:rPr>
          <w:rFonts w:ascii="Times New Roman" w:hAnsi="Times New Roman" w:cs="Times New Roman"/>
          <w:b/>
          <w:bCs/>
        </w:rPr>
      </w:pPr>
    </w:p>
    <w:p w14:paraId="6016876B" w14:textId="77777777" w:rsidR="00DB201D" w:rsidRDefault="00DB201D" w:rsidP="00DB201D">
      <w:pPr>
        <w:pStyle w:val="Header"/>
        <w:jc w:val="center"/>
        <w:rPr>
          <w:rFonts w:ascii="Times New Roman" w:hAnsi="Times New Roman" w:cs="Times New Roman"/>
          <w:b/>
          <w:bCs/>
        </w:rPr>
      </w:pPr>
    </w:p>
    <w:p w14:paraId="0ABE0E98" w14:textId="77777777" w:rsidR="00DB201D" w:rsidRDefault="00DB201D" w:rsidP="00DB201D">
      <w:pPr>
        <w:pStyle w:val="Header"/>
        <w:jc w:val="center"/>
        <w:rPr>
          <w:rFonts w:ascii="Times New Roman" w:hAnsi="Times New Roman" w:cs="Times New Roman"/>
          <w:b/>
          <w:bCs/>
        </w:rPr>
      </w:pPr>
    </w:p>
    <w:p w14:paraId="6DA46399" w14:textId="77777777" w:rsidR="00DB201D" w:rsidRDefault="00DB201D" w:rsidP="00DB201D">
      <w:pPr>
        <w:pStyle w:val="Header"/>
        <w:jc w:val="center"/>
        <w:rPr>
          <w:rFonts w:ascii="Times New Roman" w:hAnsi="Times New Roman" w:cs="Times New Roman"/>
          <w:b/>
          <w:bCs/>
        </w:rPr>
      </w:pPr>
    </w:p>
    <w:p w14:paraId="1CF91FE9" w14:textId="77777777" w:rsidR="00DB201D" w:rsidRDefault="00DB201D" w:rsidP="00DB201D">
      <w:pPr>
        <w:pStyle w:val="Header"/>
        <w:spacing w:line="480" w:lineRule="auto"/>
        <w:jc w:val="center"/>
        <w:rPr>
          <w:rFonts w:ascii="Times New Roman" w:hAnsi="Times New Roman" w:cs="Times New Roman"/>
          <w:b/>
          <w:bCs/>
        </w:rPr>
      </w:pPr>
    </w:p>
    <w:p w14:paraId="59625307" w14:textId="77777777" w:rsidR="00DB201D" w:rsidRDefault="00DB201D" w:rsidP="00DB201D">
      <w:pPr>
        <w:pStyle w:val="Header"/>
        <w:spacing w:line="480" w:lineRule="auto"/>
        <w:jc w:val="center"/>
        <w:rPr>
          <w:rFonts w:ascii="Times New Roman" w:hAnsi="Times New Roman" w:cs="Times New Roman"/>
          <w:b/>
          <w:bCs/>
        </w:rPr>
      </w:pPr>
    </w:p>
    <w:p w14:paraId="449666E6" w14:textId="1C49E1A6" w:rsidR="00DB201D" w:rsidRDefault="00DB201D" w:rsidP="00DB201D">
      <w:pPr>
        <w:pStyle w:val="Header"/>
        <w:spacing w:line="480" w:lineRule="auto"/>
        <w:jc w:val="center"/>
        <w:rPr>
          <w:rFonts w:ascii="Times New Roman" w:hAnsi="Times New Roman" w:cs="Times New Roman"/>
          <w:b/>
          <w:bCs/>
        </w:rPr>
      </w:pPr>
      <w:r w:rsidRPr="00DB201D">
        <w:rPr>
          <w:rFonts w:ascii="Times New Roman" w:hAnsi="Times New Roman" w:cs="Times New Roman"/>
          <w:b/>
          <w:bCs/>
        </w:rPr>
        <w:t>Comparing College Readiness Outcomes between Charter Schools and Traditional Public Schools</w:t>
      </w:r>
    </w:p>
    <w:p w14:paraId="33220AA0" w14:textId="77777777" w:rsidR="00DB201D" w:rsidRDefault="00DB201D" w:rsidP="00DB201D">
      <w:pPr>
        <w:pStyle w:val="Header"/>
        <w:jc w:val="center"/>
        <w:rPr>
          <w:rFonts w:ascii="Times New Roman" w:hAnsi="Times New Roman" w:cs="Times New Roman"/>
          <w:b/>
          <w:bCs/>
        </w:rPr>
      </w:pPr>
    </w:p>
    <w:p w14:paraId="2BF1F70D" w14:textId="77777777" w:rsidR="00DB201D" w:rsidRDefault="00DB201D" w:rsidP="00DB201D">
      <w:pPr>
        <w:pStyle w:val="Header"/>
        <w:jc w:val="center"/>
        <w:rPr>
          <w:rFonts w:ascii="Times New Roman" w:hAnsi="Times New Roman" w:cs="Times New Roman"/>
          <w:b/>
          <w:bCs/>
        </w:rPr>
      </w:pPr>
    </w:p>
    <w:p w14:paraId="0C65F06A" w14:textId="77777777" w:rsidR="00DB201D" w:rsidRDefault="00DB201D" w:rsidP="00DB201D">
      <w:pPr>
        <w:pStyle w:val="Header"/>
        <w:jc w:val="center"/>
        <w:rPr>
          <w:rFonts w:ascii="Times New Roman" w:hAnsi="Times New Roman" w:cs="Times New Roman"/>
          <w:b/>
          <w:bCs/>
        </w:rPr>
      </w:pPr>
    </w:p>
    <w:p w14:paraId="41762003" w14:textId="77777777" w:rsidR="00DB201D" w:rsidRDefault="00DB201D" w:rsidP="00DB201D">
      <w:pPr>
        <w:pStyle w:val="Header"/>
        <w:jc w:val="center"/>
        <w:rPr>
          <w:rFonts w:ascii="Times New Roman" w:hAnsi="Times New Roman" w:cs="Times New Roman"/>
          <w:b/>
          <w:bCs/>
        </w:rPr>
      </w:pPr>
    </w:p>
    <w:p w14:paraId="62B50341" w14:textId="77777777" w:rsidR="00DB201D" w:rsidRDefault="00DB201D" w:rsidP="00DB201D">
      <w:pPr>
        <w:pStyle w:val="Header"/>
        <w:jc w:val="center"/>
        <w:rPr>
          <w:rFonts w:ascii="Times New Roman" w:hAnsi="Times New Roman" w:cs="Times New Roman"/>
          <w:b/>
          <w:bCs/>
        </w:rPr>
      </w:pPr>
    </w:p>
    <w:p w14:paraId="2E60DAD0" w14:textId="77777777" w:rsidR="00DB201D" w:rsidRPr="00DB201D" w:rsidRDefault="00DB201D" w:rsidP="00DB201D">
      <w:pPr>
        <w:pStyle w:val="Header"/>
        <w:jc w:val="center"/>
        <w:rPr>
          <w:rFonts w:ascii="Times New Roman" w:hAnsi="Times New Roman" w:cs="Times New Roman"/>
          <w:b/>
          <w:bCs/>
        </w:rPr>
      </w:pPr>
    </w:p>
    <w:p w14:paraId="62EBD86A" w14:textId="77777777" w:rsidR="00DB201D" w:rsidRPr="00DB201D" w:rsidRDefault="00DB201D" w:rsidP="00DB201D">
      <w:pPr>
        <w:pStyle w:val="Header"/>
        <w:spacing w:line="480" w:lineRule="auto"/>
        <w:jc w:val="center"/>
        <w:rPr>
          <w:rFonts w:ascii="Times New Roman" w:hAnsi="Times New Roman" w:cs="Times New Roman"/>
        </w:rPr>
      </w:pPr>
      <w:r w:rsidRPr="00DB201D">
        <w:rPr>
          <w:rFonts w:ascii="Times New Roman" w:hAnsi="Times New Roman" w:cs="Times New Roman"/>
        </w:rPr>
        <w:t>Tricia Francisco</w:t>
      </w:r>
    </w:p>
    <w:p w14:paraId="0CDA3D57" w14:textId="784A8D1E" w:rsidR="00DB201D" w:rsidRDefault="00DB201D" w:rsidP="00DB201D">
      <w:pPr>
        <w:pStyle w:val="Header"/>
        <w:spacing w:line="480" w:lineRule="auto"/>
        <w:jc w:val="center"/>
        <w:rPr>
          <w:rFonts w:ascii="Times New Roman" w:hAnsi="Times New Roman" w:cs="Times New Roman"/>
        </w:rPr>
      </w:pPr>
      <w:r w:rsidRPr="00DB201D">
        <w:rPr>
          <w:rFonts w:ascii="Times New Roman" w:hAnsi="Times New Roman" w:cs="Times New Roman"/>
        </w:rPr>
        <w:t xml:space="preserve">EDU 610: Qualitative and Quantitative </w:t>
      </w:r>
      <w:r>
        <w:rPr>
          <w:rFonts w:ascii="Times New Roman" w:hAnsi="Times New Roman" w:cs="Times New Roman"/>
        </w:rPr>
        <w:t>Research Strategies</w:t>
      </w:r>
    </w:p>
    <w:p w14:paraId="374F618F" w14:textId="46405DC1" w:rsidR="00DB201D" w:rsidRPr="00DB201D" w:rsidRDefault="00DB201D" w:rsidP="00DB201D">
      <w:pPr>
        <w:pStyle w:val="Header"/>
        <w:spacing w:line="480" w:lineRule="auto"/>
        <w:jc w:val="center"/>
        <w:rPr>
          <w:rFonts w:ascii="Times New Roman" w:hAnsi="Times New Roman" w:cs="Times New Roman"/>
        </w:rPr>
      </w:pPr>
      <w:r>
        <w:rPr>
          <w:rFonts w:ascii="Times New Roman" w:hAnsi="Times New Roman" w:cs="Times New Roman"/>
        </w:rPr>
        <w:t>Dr. Jennifer Steele</w:t>
      </w:r>
    </w:p>
    <w:p w14:paraId="0235FEA3" w14:textId="77777777" w:rsidR="00DB201D" w:rsidRDefault="00DB201D" w:rsidP="00DB201D">
      <w:pPr>
        <w:pStyle w:val="Header"/>
        <w:spacing w:line="480" w:lineRule="auto"/>
        <w:jc w:val="center"/>
        <w:rPr>
          <w:rFonts w:ascii="Times New Roman" w:hAnsi="Times New Roman" w:cs="Times New Roman"/>
        </w:rPr>
      </w:pPr>
      <w:r w:rsidRPr="00DB201D">
        <w:rPr>
          <w:rFonts w:ascii="Times New Roman" w:hAnsi="Times New Roman" w:cs="Times New Roman"/>
        </w:rPr>
        <w:t>April 26, 2026</w:t>
      </w:r>
    </w:p>
    <w:p w14:paraId="6FF85063" w14:textId="2845D1C5" w:rsidR="00085042" w:rsidRPr="00F90E74" w:rsidRDefault="00DB201D" w:rsidP="00DB201D">
      <w:pPr>
        <w:pStyle w:val="Header"/>
        <w:rPr>
          <w:rFonts w:ascii="Times New Roman" w:hAnsi="Times New Roman" w:cs="Times New Roman"/>
          <w:b/>
          <w:bCs/>
        </w:rPr>
      </w:pPr>
      <w:r>
        <w:rPr>
          <w:rFonts w:ascii="Times New Roman" w:hAnsi="Times New Roman" w:cs="Times New Roman"/>
        </w:rPr>
        <w:br w:type="page"/>
      </w:r>
      <w:r w:rsidR="00085042" w:rsidRPr="00F90E74">
        <w:rPr>
          <w:rFonts w:ascii="Times New Roman" w:hAnsi="Times New Roman" w:cs="Times New Roman"/>
          <w:b/>
          <w:bCs/>
        </w:rPr>
        <w:lastRenderedPageBreak/>
        <w:t>Abstract </w:t>
      </w:r>
    </w:p>
    <w:p w14:paraId="749898C7" w14:textId="49A2FEB5" w:rsidR="00085042" w:rsidRPr="00085042" w:rsidRDefault="00085042" w:rsidP="00085042">
      <w:pPr>
        <w:spacing w:after="0" w:line="240" w:lineRule="auto"/>
        <w:rPr>
          <w:rFonts w:ascii="Times New Roman" w:hAnsi="Times New Roman" w:cs="Times New Roman"/>
        </w:rPr>
      </w:pPr>
      <w:r w:rsidRPr="00085042">
        <w:rPr>
          <w:rFonts w:ascii="Times New Roman" w:hAnsi="Times New Roman" w:cs="Times New Roman"/>
        </w:rPr>
        <w:t xml:space="preserve">The purpose of this study is to assess the extent to which charter schools in Houston, </w:t>
      </w:r>
      <w:proofErr w:type="gramStart"/>
      <w:r w:rsidRPr="00085042">
        <w:rPr>
          <w:rFonts w:ascii="Times New Roman" w:hAnsi="Times New Roman" w:cs="Times New Roman"/>
        </w:rPr>
        <w:t>Texas</w:t>
      </w:r>
      <w:r>
        <w:rPr>
          <w:rFonts w:ascii="Times New Roman" w:hAnsi="Times New Roman" w:cs="Times New Roman"/>
        </w:rPr>
        <w:t>,</w:t>
      </w:r>
      <w:proofErr w:type="gramEnd"/>
      <w:r w:rsidRPr="00085042">
        <w:rPr>
          <w:rFonts w:ascii="Times New Roman" w:hAnsi="Times New Roman" w:cs="Times New Roman"/>
        </w:rPr>
        <w:t xml:space="preserve"> differ from traditional public schools in terms of college readiness outcomes. Using enrollment and college readiness data from the Texas Academic Performance Report, charter schools were matched to traditional public schools based on geographic proximity and demographic parity. The analysis was conducted in Excel and compared the average </w:t>
      </w:r>
      <w:r>
        <w:rPr>
          <w:rFonts w:ascii="Times New Roman" w:hAnsi="Times New Roman" w:cs="Times New Roman"/>
        </w:rPr>
        <w:t>percentages of students who met the state's SAT/ACT threshold and the college</w:t>
      </w:r>
      <w:r w:rsidR="00A77E6C">
        <w:rPr>
          <w:rFonts w:ascii="Times New Roman" w:hAnsi="Times New Roman" w:cs="Times New Roman"/>
        </w:rPr>
        <w:t xml:space="preserve"> </w:t>
      </w:r>
      <w:r>
        <w:rPr>
          <w:rFonts w:ascii="Times New Roman" w:hAnsi="Times New Roman" w:cs="Times New Roman"/>
        </w:rPr>
        <w:t>readiness</w:t>
      </w:r>
      <w:r w:rsidRPr="00085042">
        <w:rPr>
          <w:rFonts w:ascii="Times New Roman" w:hAnsi="Times New Roman" w:cs="Times New Roman"/>
        </w:rPr>
        <w:t xml:space="preserve"> metric. The analysis was also disaggregated by student groups. Results indicate that </w:t>
      </w:r>
      <w:r w:rsidR="00A77E6C">
        <w:rPr>
          <w:rFonts w:ascii="Times New Roman" w:hAnsi="Times New Roman" w:cs="Times New Roman"/>
        </w:rPr>
        <w:t>charter school students</w:t>
      </w:r>
      <w:r w:rsidRPr="00085042">
        <w:rPr>
          <w:rFonts w:ascii="Times New Roman" w:hAnsi="Times New Roman" w:cs="Times New Roman"/>
        </w:rPr>
        <w:t xml:space="preserve"> are more likely to meet the state's SAT/ACT criteria than their peers in traditional public schools. This trend holds for economically disadvantaged students but is lower for SWD and ELs. It may also vary by geographic location. Conversely, nearly all charter school students, regardless of location, language, income, or disability status, are likely to meet the state’s broader </w:t>
      </w:r>
      <w:r>
        <w:rPr>
          <w:rFonts w:ascii="Times New Roman" w:hAnsi="Times New Roman" w:cs="Times New Roman"/>
        </w:rPr>
        <w:t>college-readiness metric than their traditional public school</w:t>
      </w:r>
      <w:r w:rsidRPr="00085042">
        <w:rPr>
          <w:rFonts w:ascii="Times New Roman" w:hAnsi="Times New Roman" w:cs="Times New Roman"/>
        </w:rPr>
        <w:t xml:space="preserve"> peers.</w:t>
      </w:r>
    </w:p>
    <w:p w14:paraId="1D2A10A4" w14:textId="77777777" w:rsidR="00085042" w:rsidRPr="00085042" w:rsidRDefault="00085042" w:rsidP="00085042">
      <w:pPr>
        <w:spacing w:after="0" w:line="240" w:lineRule="auto"/>
        <w:rPr>
          <w:rFonts w:ascii="Times New Roman" w:hAnsi="Times New Roman" w:cs="Times New Roman"/>
        </w:rPr>
      </w:pPr>
    </w:p>
    <w:p w14:paraId="71CD3147" w14:textId="77777777" w:rsidR="00085042" w:rsidRPr="00F90E74" w:rsidRDefault="00085042" w:rsidP="00085042">
      <w:pPr>
        <w:spacing w:after="0" w:line="240" w:lineRule="auto"/>
        <w:rPr>
          <w:rFonts w:ascii="Times New Roman" w:hAnsi="Times New Roman" w:cs="Times New Roman"/>
          <w:b/>
          <w:bCs/>
        </w:rPr>
      </w:pPr>
      <w:r w:rsidRPr="00F90E74">
        <w:rPr>
          <w:rFonts w:ascii="Times New Roman" w:hAnsi="Times New Roman" w:cs="Times New Roman"/>
          <w:b/>
          <w:bCs/>
        </w:rPr>
        <w:t>Introduction and Literature Review</w:t>
      </w:r>
    </w:p>
    <w:p w14:paraId="67E8587E" w14:textId="777F1DF2" w:rsidR="00085042" w:rsidRPr="00085042" w:rsidRDefault="00085042" w:rsidP="00085042">
      <w:pPr>
        <w:spacing w:after="0" w:line="240" w:lineRule="auto"/>
        <w:rPr>
          <w:rFonts w:ascii="Times New Roman" w:hAnsi="Times New Roman" w:cs="Times New Roman"/>
        </w:rPr>
      </w:pPr>
      <w:r w:rsidRPr="00085042">
        <w:rPr>
          <w:rFonts w:ascii="Times New Roman" w:hAnsi="Times New Roman" w:cs="Times New Roman"/>
        </w:rPr>
        <w:t>College readiness is often referred to as a student's level of academic knowledge, skills, and behaviors needed to succeed in an entry-level college class. The 2024 National Assessment of Educational Progress results i</w:t>
      </w:r>
      <w:r w:rsidR="00982A43">
        <w:rPr>
          <w:rFonts w:ascii="Times New Roman" w:hAnsi="Times New Roman" w:cs="Times New Roman"/>
        </w:rPr>
        <w:t>llustrate</w:t>
      </w:r>
      <w:r w:rsidRPr="00085042">
        <w:rPr>
          <w:rFonts w:ascii="Times New Roman" w:hAnsi="Times New Roman" w:cs="Times New Roman"/>
        </w:rPr>
        <w:t xml:space="preserve"> that only 22</w:t>
      </w:r>
      <w:r w:rsidR="00C45526">
        <w:rPr>
          <w:rFonts w:ascii="Times New Roman" w:hAnsi="Times New Roman" w:cs="Times New Roman"/>
        </w:rPr>
        <w:t xml:space="preserve"> percent</w:t>
      </w:r>
      <w:r w:rsidRPr="00085042">
        <w:rPr>
          <w:rFonts w:ascii="Times New Roman" w:hAnsi="Times New Roman" w:cs="Times New Roman"/>
        </w:rPr>
        <w:t xml:space="preserve"> of 12th-grade students are </w:t>
      </w:r>
      <w:r w:rsidR="00792EE4">
        <w:rPr>
          <w:rFonts w:ascii="Times New Roman" w:hAnsi="Times New Roman" w:cs="Times New Roman"/>
        </w:rPr>
        <w:t>college-ready in math, and only 35 percent are college-ready</w:t>
      </w:r>
      <w:r w:rsidRPr="00085042">
        <w:rPr>
          <w:rFonts w:ascii="Times New Roman" w:hAnsi="Times New Roman" w:cs="Times New Roman"/>
        </w:rPr>
        <w:t xml:space="preserve"> in reading</w:t>
      </w:r>
      <w:r w:rsidR="00982A43">
        <w:rPr>
          <w:rFonts w:ascii="Times New Roman" w:hAnsi="Times New Roman" w:cs="Times New Roman"/>
        </w:rPr>
        <w:t xml:space="preserve">. These scores represent </w:t>
      </w:r>
      <w:r w:rsidRPr="00085042">
        <w:rPr>
          <w:rFonts w:ascii="Times New Roman" w:hAnsi="Times New Roman" w:cs="Times New Roman"/>
        </w:rPr>
        <w:t xml:space="preserve">a decline of approximately 3 points from 2019 (Harris, 2025). </w:t>
      </w:r>
      <w:r w:rsidR="00982A43">
        <w:rPr>
          <w:rFonts w:ascii="Times New Roman" w:hAnsi="Times New Roman" w:cs="Times New Roman"/>
        </w:rPr>
        <w:t>Concurrently</w:t>
      </w:r>
      <w:r w:rsidRPr="00085042">
        <w:rPr>
          <w:rFonts w:ascii="Times New Roman" w:hAnsi="Times New Roman" w:cs="Times New Roman"/>
        </w:rPr>
        <w:t>, charter school enrollment has increased. Since 2020</w:t>
      </w:r>
      <w:r w:rsidR="00F42AC8">
        <w:rPr>
          <w:rFonts w:ascii="Times New Roman" w:hAnsi="Times New Roman" w:cs="Times New Roman"/>
        </w:rPr>
        <w:t>,</w:t>
      </w:r>
      <w:r w:rsidRPr="00085042">
        <w:rPr>
          <w:rFonts w:ascii="Times New Roman" w:hAnsi="Times New Roman" w:cs="Times New Roman"/>
        </w:rPr>
        <w:t xml:space="preserve"> more than half a million students have migrated to charter schools, while traditional </w:t>
      </w:r>
      <w:proofErr w:type="gramStart"/>
      <w:r w:rsidRPr="00085042">
        <w:rPr>
          <w:rFonts w:ascii="Times New Roman" w:hAnsi="Times New Roman" w:cs="Times New Roman"/>
        </w:rPr>
        <w:t>public school</w:t>
      </w:r>
      <w:proofErr w:type="gramEnd"/>
      <w:r w:rsidRPr="00085042">
        <w:rPr>
          <w:rFonts w:ascii="Times New Roman" w:hAnsi="Times New Roman" w:cs="Times New Roman"/>
        </w:rPr>
        <w:t xml:space="preserve"> districts have lost over two million students (National Alliance for Public Charter Schools, 2025). </w:t>
      </w:r>
      <w:r w:rsidR="00895580">
        <w:rPr>
          <w:rFonts w:ascii="Times New Roman" w:hAnsi="Times New Roman" w:cs="Times New Roman"/>
        </w:rPr>
        <w:t>T</w:t>
      </w:r>
      <w:r w:rsidR="00895580" w:rsidRPr="00085042">
        <w:rPr>
          <w:rFonts w:ascii="Times New Roman" w:hAnsi="Times New Roman" w:cs="Times New Roman"/>
        </w:rPr>
        <w:t>hese enrollment shifts</w:t>
      </w:r>
      <w:r w:rsidR="00895580">
        <w:rPr>
          <w:rFonts w:ascii="Times New Roman" w:hAnsi="Times New Roman" w:cs="Times New Roman"/>
        </w:rPr>
        <w:t>, coupled with the decline in college readiness outcomes for students,</w:t>
      </w:r>
      <w:r w:rsidR="00895580" w:rsidRPr="00085042">
        <w:rPr>
          <w:rFonts w:ascii="Times New Roman" w:hAnsi="Times New Roman" w:cs="Times New Roman"/>
        </w:rPr>
        <w:t xml:space="preserve"> raise important questions about how differences in </w:t>
      </w:r>
      <w:r w:rsidR="00895580">
        <w:rPr>
          <w:rFonts w:ascii="Times New Roman" w:hAnsi="Times New Roman" w:cs="Times New Roman"/>
        </w:rPr>
        <w:t>school models</w:t>
      </w:r>
      <w:r w:rsidR="00895580" w:rsidRPr="00085042">
        <w:rPr>
          <w:rFonts w:ascii="Times New Roman" w:hAnsi="Times New Roman" w:cs="Times New Roman"/>
        </w:rPr>
        <w:t xml:space="preserve"> </w:t>
      </w:r>
      <w:r w:rsidR="00EF150D">
        <w:rPr>
          <w:rFonts w:ascii="Times New Roman" w:hAnsi="Times New Roman" w:cs="Times New Roman"/>
        </w:rPr>
        <w:t xml:space="preserve">prepare students for higher education. This is especially </w:t>
      </w:r>
      <w:r w:rsidR="009C224E">
        <w:rPr>
          <w:rFonts w:ascii="Times New Roman" w:hAnsi="Times New Roman" w:cs="Times New Roman"/>
        </w:rPr>
        <w:t>crucial</w:t>
      </w:r>
      <w:r w:rsidR="00EF150D">
        <w:rPr>
          <w:rFonts w:ascii="Times New Roman" w:hAnsi="Times New Roman" w:cs="Times New Roman"/>
        </w:rPr>
        <w:t xml:space="preserve"> as </w:t>
      </w:r>
      <w:r w:rsidR="009C224E">
        <w:rPr>
          <w:rFonts w:ascii="Times New Roman" w:hAnsi="Times New Roman" w:cs="Times New Roman"/>
        </w:rPr>
        <w:t xml:space="preserve">many </w:t>
      </w:r>
      <w:r w:rsidR="00EF150D">
        <w:rPr>
          <w:rFonts w:ascii="Times New Roman" w:hAnsi="Times New Roman" w:cs="Times New Roman"/>
        </w:rPr>
        <w:t>low-income students, English learners (EL), and students with disabilities (SWD)</w:t>
      </w:r>
      <w:r w:rsidR="009C224E">
        <w:rPr>
          <w:rFonts w:ascii="Times New Roman" w:hAnsi="Times New Roman" w:cs="Times New Roman"/>
        </w:rPr>
        <w:t xml:space="preserve"> attend charter schools and are disproportionately impacted by the decline in college readiness</w:t>
      </w:r>
      <w:r w:rsidR="00EF150D">
        <w:rPr>
          <w:rFonts w:ascii="Times New Roman" w:hAnsi="Times New Roman" w:cs="Times New Roman"/>
        </w:rPr>
        <w:t xml:space="preserve">. </w:t>
      </w:r>
      <w:r w:rsidRPr="00085042">
        <w:rPr>
          <w:rFonts w:ascii="Times New Roman" w:hAnsi="Times New Roman" w:cs="Times New Roman"/>
        </w:rPr>
        <w:t xml:space="preserve">Therefore, it is critical to assess whether charter high schools mitigate or exacerbate existing inequities </w:t>
      </w:r>
      <w:r w:rsidR="00982A43">
        <w:rPr>
          <w:rFonts w:ascii="Times New Roman" w:hAnsi="Times New Roman" w:cs="Times New Roman"/>
        </w:rPr>
        <w:t>compared</w:t>
      </w:r>
      <w:r w:rsidRPr="00085042">
        <w:rPr>
          <w:rFonts w:ascii="Times New Roman" w:hAnsi="Times New Roman" w:cs="Times New Roman"/>
        </w:rPr>
        <w:t xml:space="preserve"> to traditional public schools.</w:t>
      </w:r>
    </w:p>
    <w:p w14:paraId="741145D7" w14:textId="4B45D609" w:rsidR="00085042" w:rsidRPr="00085042" w:rsidRDefault="00085042" w:rsidP="00085042">
      <w:pPr>
        <w:spacing w:line="240" w:lineRule="auto"/>
        <w:rPr>
          <w:rFonts w:ascii="Times New Roman" w:hAnsi="Times New Roman" w:cs="Times New Roman"/>
        </w:rPr>
      </w:pPr>
      <w:r w:rsidRPr="00085042">
        <w:rPr>
          <w:rFonts w:ascii="Times New Roman" w:hAnsi="Times New Roman" w:cs="Times New Roman"/>
        </w:rPr>
        <w:tab/>
        <w:t>Research on charter schools has primarily examined college readiness outcomes using Scholastic Aptitude Test (SAT) scores rather than American College Test (ACT) scores, with additional attention to Advanced Placement (AP) performance and college enrollment rates. The literature generally finds that charter schools improve SAT and AP exam performance</w:t>
      </w:r>
      <w:r w:rsidR="00982A43">
        <w:rPr>
          <w:rFonts w:ascii="Times New Roman" w:hAnsi="Times New Roman" w:cs="Times New Roman"/>
        </w:rPr>
        <w:t xml:space="preserve">. A </w:t>
      </w:r>
      <w:r w:rsidRPr="00085042">
        <w:rPr>
          <w:rFonts w:ascii="Times New Roman" w:hAnsi="Times New Roman" w:cs="Times New Roman"/>
        </w:rPr>
        <w:t xml:space="preserve">key explanatory factor </w:t>
      </w:r>
      <w:r w:rsidR="00982A43">
        <w:rPr>
          <w:rFonts w:ascii="Times New Roman" w:hAnsi="Times New Roman" w:cs="Times New Roman"/>
        </w:rPr>
        <w:t>is</w:t>
      </w:r>
      <w:r w:rsidRPr="00085042">
        <w:rPr>
          <w:rFonts w:ascii="Times New Roman" w:hAnsi="Times New Roman" w:cs="Times New Roman"/>
        </w:rPr>
        <w:t xml:space="preserve"> the “no-excuses” charter model</w:t>
      </w:r>
      <w:r w:rsidR="00982A43">
        <w:rPr>
          <w:rFonts w:ascii="Times New Roman" w:hAnsi="Times New Roman" w:cs="Times New Roman"/>
        </w:rPr>
        <w:t>, which</w:t>
      </w:r>
      <w:r w:rsidRPr="00085042">
        <w:rPr>
          <w:rFonts w:ascii="Times New Roman" w:hAnsi="Times New Roman" w:cs="Times New Roman"/>
        </w:rPr>
        <w:t xml:space="preserve"> emphasizes extended school days, intensive teacher development, and a strong focus on college preparation. For example, a lottery-based randomized admission design by Angrist et al. (2016) finds that charter school attendance increases composite SAT scores and the likelihood of earning a 3 on the AP exam. These effects are </w:t>
      </w:r>
      <w:r w:rsidR="0096658E">
        <w:rPr>
          <w:rFonts w:ascii="Times New Roman" w:hAnsi="Times New Roman" w:cs="Times New Roman"/>
        </w:rPr>
        <w:t>seen</w:t>
      </w:r>
      <w:r w:rsidRPr="00085042">
        <w:rPr>
          <w:rFonts w:ascii="Times New Roman" w:hAnsi="Times New Roman" w:cs="Times New Roman"/>
        </w:rPr>
        <w:t xml:space="preserve"> in “no-excuses” charter schools, </w:t>
      </w:r>
      <w:r>
        <w:rPr>
          <w:rFonts w:ascii="Times New Roman" w:hAnsi="Times New Roman" w:cs="Times New Roman"/>
        </w:rPr>
        <w:t xml:space="preserve">but </w:t>
      </w:r>
      <w:r w:rsidRPr="00085042">
        <w:rPr>
          <w:rFonts w:ascii="Times New Roman" w:hAnsi="Times New Roman" w:cs="Times New Roman"/>
        </w:rPr>
        <w:t xml:space="preserve">they vary across SWD and low-income students.  Similarly, a regression analysis with statistical controls by Adzima (2017) finds that California charter school students outperformed their traditional </w:t>
      </w:r>
      <w:proofErr w:type="gramStart"/>
      <w:r w:rsidRPr="00085042">
        <w:rPr>
          <w:rFonts w:ascii="Times New Roman" w:hAnsi="Times New Roman" w:cs="Times New Roman"/>
        </w:rPr>
        <w:t>public school</w:t>
      </w:r>
      <w:proofErr w:type="gramEnd"/>
      <w:r w:rsidRPr="00085042">
        <w:rPr>
          <w:rFonts w:ascii="Times New Roman" w:hAnsi="Times New Roman" w:cs="Times New Roman"/>
        </w:rPr>
        <w:t xml:space="preserve"> peers on AP exams. Evidence on college enrollment outc</w:t>
      </w:r>
      <w:r w:rsidR="0096658E">
        <w:rPr>
          <w:rFonts w:ascii="Times New Roman" w:hAnsi="Times New Roman" w:cs="Times New Roman"/>
        </w:rPr>
        <w:t>o</w:t>
      </w:r>
      <w:r w:rsidRPr="00085042">
        <w:rPr>
          <w:rFonts w:ascii="Times New Roman" w:hAnsi="Times New Roman" w:cs="Times New Roman"/>
        </w:rPr>
        <w:t xml:space="preserve">mes associated with charter schools is generally modest. Angrist et al. (2016) find only small effects on overall college enrollment within 18 months of graduation, though charter attendance increases the likelihood of enrolling in four-year institutions. On the other hand, Dobbie and Fryer (2016) find that </w:t>
      </w:r>
      <w:r w:rsidR="00F42AC8">
        <w:rPr>
          <w:rFonts w:ascii="Times New Roman" w:hAnsi="Times New Roman" w:cs="Times New Roman"/>
        </w:rPr>
        <w:t xml:space="preserve">many Texas charter </w:t>
      </w:r>
      <w:proofErr w:type="gramStart"/>
      <w:r w:rsidR="00F42AC8">
        <w:rPr>
          <w:rFonts w:ascii="Times New Roman" w:hAnsi="Times New Roman" w:cs="Times New Roman"/>
        </w:rPr>
        <w:t>schools</w:t>
      </w:r>
      <w:proofErr w:type="gramEnd"/>
      <w:r w:rsidR="00F42AC8">
        <w:rPr>
          <w:rFonts w:ascii="Times New Roman" w:hAnsi="Times New Roman" w:cs="Times New Roman"/>
        </w:rPr>
        <w:t xml:space="preserve"> </w:t>
      </w:r>
      <w:r w:rsidRPr="00085042">
        <w:rPr>
          <w:rFonts w:ascii="Times New Roman" w:hAnsi="Times New Roman" w:cs="Times New Roman"/>
        </w:rPr>
        <w:t>direct students to two-year colleges. More recent studies highlight different effects across student subgroups. Reber et al. (2024) find no statistically significant difference in gender</w:t>
      </w:r>
      <w:r w:rsidR="00982A43">
        <w:rPr>
          <w:rFonts w:ascii="Times New Roman" w:hAnsi="Times New Roman" w:cs="Times New Roman"/>
        </w:rPr>
        <w:t>, but</w:t>
      </w:r>
      <w:r w:rsidRPr="00085042">
        <w:rPr>
          <w:rFonts w:ascii="Times New Roman" w:hAnsi="Times New Roman" w:cs="Times New Roman"/>
        </w:rPr>
        <w:t xml:space="preserve"> </w:t>
      </w:r>
      <w:r w:rsidR="00FE6E33" w:rsidRPr="00085042">
        <w:rPr>
          <w:rFonts w:ascii="Times New Roman" w:hAnsi="Times New Roman" w:cs="Times New Roman"/>
        </w:rPr>
        <w:t xml:space="preserve">Lu et al. </w:t>
      </w:r>
      <w:r w:rsidR="00FE6E33" w:rsidRPr="00085042">
        <w:rPr>
          <w:rFonts w:ascii="Times New Roman" w:hAnsi="Times New Roman" w:cs="Times New Roman"/>
        </w:rPr>
        <w:lastRenderedPageBreak/>
        <w:t xml:space="preserve">(2025) </w:t>
      </w:r>
      <w:r w:rsidR="00FE6E33">
        <w:rPr>
          <w:rFonts w:ascii="Times New Roman" w:hAnsi="Times New Roman" w:cs="Times New Roman"/>
        </w:rPr>
        <w:t>f</w:t>
      </w:r>
      <w:r w:rsidR="00F42AC8">
        <w:rPr>
          <w:rFonts w:ascii="Times New Roman" w:hAnsi="Times New Roman" w:cs="Times New Roman"/>
        </w:rPr>
        <w:t>i</w:t>
      </w:r>
      <w:r w:rsidR="00FE6E33">
        <w:rPr>
          <w:rFonts w:ascii="Times New Roman" w:hAnsi="Times New Roman" w:cs="Times New Roman"/>
        </w:rPr>
        <w:t>nd that</w:t>
      </w:r>
      <w:r w:rsidRPr="00085042">
        <w:rPr>
          <w:rFonts w:ascii="Times New Roman" w:hAnsi="Times New Roman" w:cs="Times New Roman"/>
        </w:rPr>
        <w:t xml:space="preserve"> charter school attendance increases the likelihood that economically disadvantaged, Black, and Hispanic students</w:t>
      </w:r>
      <w:r w:rsidR="00982A43">
        <w:rPr>
          <w:rFonts w:ascii="Times New Roman" w:hAnsi="Times New Roman" w:cs="Times New Roman"/>
        </w:rPr>
        <w:t xml:space="preserve"> </w:t>
      </w:r>
      <w:r w:rsidRPr="00085042">
        <w:rPr>
          <w:rFonts w:ascii="Times New Roman" w:hAnsi="Times New Roman" w:cs="Times New Roman"/>
        </w:rPr>
        <w:t xml:space="preserve">enroll in </w:t>
      </w:r>
      <w:r w:rsidR="00FE6E33">
        <w:rPr>
          <w:rFonts w:ascii="Times New Roman" w:hAnsi="Times New Roman" w:cs="Times New Roman"/>
        </w:rPr>
        <w:t xml:space="preserve">high-quality </w:t>
      </w:r>
      <w:r w:rsidRPr="00085042">
        <w:rPr>
          <w:rFonts w:ascii="Times New Roman" w:hAnsi="Times New Roman" w:cs="Times New Roman"/>
        </w:rPr>
        <w:t>four-year colleges</w:t>
      </w:r>
      <w:r w:rsidR="00FE6E33">
        <w:rPr>
          <w:rFonts w:ascii="Times New Roman" w:hAnsi="Times New Roman" w:cs="Times New Roman"/>
        </w:rPr>
        <w:t xml:space="preserve"> in California</w:t>
      </w:r>
      <w:r w:rsidRPr="00085042">
        <w:rPr>
          <w:rFonts w:ascii="Times New Roman" w:hAnsi="Times New Roman" w:cs="Times New Roman"/>
        </w:rPr>
        <w:t>. Taken together, these findings indicate that charter schools may not uniformly increase college enrollment, but they do appear to increase SAT and AP achievement outcomes compared to their traditional public schools. These patterns influence the central research question discussed in this study.</w:t>
      </w:r>
    </w:p>
    <w:p w14:paraId="55B13646" w14:textId="77777777" w:rsidR="00085042" w:rsidRPr="00F90E74" w:rsidRDefault="00085042" w:rsidP="00085042">
      <w:pPr>
        <w:spacing w:after="0" w:line="240" w:lineRule="auto"/>
        <w:rPr>
          <w:rFonts w:ascii="Times New Roman" w:hAnsi="Times New Roman" w:cs="Times New Roman"/>
          <w:b/>
          <w:bCs/>
        </w:rPr>
      </w:pPr>
      <w:r w:rsidRPr="00F90E74">
        <w:rPr>
          <w:rFonts w:ascii="Times New Roman" w:hAnsi="Times New Roman" w:cs="Times New Roman"/>
          <w:b/>
          <w:bCs/>
        </w:rPr>
        <w:t>Research Question </w:t>
      </w:r>
    </w:p>
    <w:p w14:paraId="0A7C0E4C" w14:textId="1D2F9E1B" w:rsidR="00085042" w:rsidRPr="00085042" w:rsidRDefault="00085042" w:rsidP="00085042">
      <w:pPr>
        <w:spacing w:after="0" w:line="240" w:lineRule="auto"/>
        <w:rPr>
          <w:rFonts w:ascii="Times New Roman" w:hAnsi="Times New Roman" w:cs="Times New Roman"/>
        </w:rPr>
      </w:pPr>
      <w:r w:rsidRPr="00085042">
        <w:rPr>
          <w:rFonts w:ascii="Times New Roman" w:hAnsi="Times New Roman" w:cs="Times New Roman"/>
        </w:rPr>
        <w:t xml:space="preserve">The purpose of this study is to examine the extent to which charter schools in Houston differ from traditional public schools in terms of college readiness outcomes. The analysis compares the percentage of students who meet the state’s SAT/ACT college readiness criterion across the two </w:t>
      </w:r>
      <w:r w:rsidR="00F42AC8">
        <w:rPr>
          <w:rFonts w:ascii="Times New Roman" w:hAnsi="Times New Roman" w:cs="Times New Roman"/>
        </w:rPr>
        <w:t>models</w:t>
      </w:r>
      <w:r w:rsidRPr="00085042">
        <w:rPr>
          <w:rFonts w:ascii="Times New Roman" w:hAnsi="Times New Roman" w:cs="Times New Roman"/>
        </w:rPr>
        <w:t xml:space="preserve">. It also compares the percentages of students who meet the state's college readiness criteria. These include passing an AP exam, a dual credit course, or satisfying the state’s test requirements. It further assesses whether these metrics differ across the two </w:t>
      </w:r>
      <w:r w:rsidR="00982A43">
        <w:rPr>
          <w:rFonts w:ascii="Times New Roman" w:hAnsi="Times New Roman" w:cs="Times New Roman"/>
        </w:rPr>
        <w:t>models for</w:t>
      </w:r>
      <w:r w:rsidRPr="00085042">
        <w:rPr>
          <w:rFonts w:ascii="Times New Roman" w:hAnsi="Times New Roman" w:cs="Times New Roman"/>
        </w:rPr>
        <w:t xml:space="preserve"> economically disadvantaged</w:t>
      </w:r>
      <w:r w:rsidR="005E6942">
        <w:rPr>
          <w:rFonts w:ascii="Times New Roman" w:hAnsi="Times New Roman" w:cs="Times New Roman"/>
        </w:rPr>
        <w:t>, EL</w:t>
      </w:r>
      <w:r w:rsidR="00C45526">
        <w:rPr>
          <w:rFonts w:ascii="Times New Roman" w:hAnsi="Times New Roman" w:cs="Times New Roman"/>
        </w:rPr>
        <w:t>, and SWD</w:t>
      </w:r>
      <w:r w:rsidRPr="00085042">
        <w:rPr>
          <w:rFonts w:ascii="Times New Roman" w:hAnsi="Times New Roman" w:cs="Times New Roman"/>
        </w:rPr>
        <w:t xml:space="preserve">. </w:t>
      </w:r>
      <w:r w:rsidR="00982A43">
        <w:rPr>
          <w:rFonts w:ascii="Times New Roman" w:hAnsi="Times New Roman" w:cs="Times New Roman"/>
        </w:rPr>
        <w:t>T</w:t>
      </w:r>
      <w:r w:rsidRPr="00085042">
        <w:rPr>
          <w:rFonts w:ascii="Times New Roman" w:hAnsi="Times New Roman" w:cs="Times New Roman"/>
        </w:rPr>
        <w:t xml:space="preserve">he study does not include college enrollment rates, </w:t>
      </w:r>
      <w:r w:rsidR="00982A43">
        <w:rPr>
          <w:rFonts w:ascii="Times New Roman" w:hAnsi="Times New Roman" w:cs="Times New Roman"/>
        </w:rPr>
        <w:t xml:space="preserve">but </w:t>
      </w:r>
      <w:r w:rsidRPr="00085042">
        <w:rPr>
          <w:rFonts w:ascii="Times New Roman" w:hAnsi="Times New Roman" w:cs="Times New Roman"/>
        </w:rPr>
        <w:t>it does build on prior literature by leveraging a broader set of college</w:t>
      </w:r>
      <w:r w:rsidR="00C45526">
        <w:rPr>
          <w:rFonts w:ascii="Times New Roman" w:hAnsi="Times New Roman" w:cs="Times New Roman"/>
        </w:rPr>
        <w:t xml:space="preserve"> </w:t>
      </w:r>
      <w:r w:rsidRPr="00085042">
        <w:rPr>
          <w:rFonts w:ascii="Times New Roman" w:hAnsi="Times New Roman" w:cs="Times New Roman"/>
        </w:rPr>
        <w:t>readiness indicators. It includes the ACT and captures additional dimensions of student preparedness for postsecondary education. It also provides insight into additional student groups since the existing literature does not consistently disaggregate them.</w:t>
      </w:r>
    </w:p>
    <w:p w14:paraId="543D3E8B" w14:textId="742B9A50" w:rsidR="00085042" w:rsidRPr="00085042" w:rsidRDefault="00085042" w:rsidP="00085042">
      <w:pPr>
        <w:spacing w:after="0" w:line="240" w:lineRule="auto"/>
        <w:ind w:firstLine="720"/>
        <w:rPr>
          <w:rFonts w:ascii="Times New Roman" w:hAnsi="Times New Roman" w:cs="Times New Roman"/>
        </w:rPr>
      </w:pPr>
      <w:r w:rsidRPr="00085042">
        <w:rPr>
          <w:rFonts w:ascii="Times New Roman" w:hAnsi="Times New Roman" w:cs="Times New Roman"/>
        </w:rPr>
        <w:t>I expect charter school enrollment to be associated with higher college</w:t>
      </w:r>
      <w:r w:rsidR="00C45526">
        <w:rPr>
          <w:rFonts w:ascii="Times New Roman" w:hAnsi="Times New Roman" w:cs="Times New Roman"/>
        </w:rPr>
        <w:t xml:space="preserve"> </w:t>
      </w:r>
      <w:r w:rsidRPr="00085042">
        <w:rPr>
          <w:rFonts w:ascii="Times New Roman" w:hAnsi="Times New Roman" w:cs="Times New Roman"/>
        </w:rPr>
        <w:t>readiness metrics than traditional public schools. Prior research using a randomized lottery-based design or a regression analysis with statistical controls provides evidence that charter school enrollment can increase one’s college readiness. Angrist et al. (2016) and Adzima (2017) found that a “</w:t>
      </w:r>
      <w:r w:rsidR="005E6942">
        <w:rPr>
          <w:rFonts w:ascii="Times New Roman" w:hAnsi="Times New Roman" w:cs="Times New Roman"/>
        </w:rPr>
        <w:t>n</w:t>
      </w:r>
      <w:r w:rsidRPr="00085042">
        <w:rPr>
          <w:rFonts w:ascii="Times New Roman" w:hAnsi="Times New Roman" w:cs="Times New Roman"/>
        </w:rPr>
        <w:t xml:space="preserve">o </w:t>
      </w:r>
      <w:r w:rsidR="005E6942">
        <w:rPr>
          <w:rFonts w:ascii="Times New Roman" w:hAnsi="Times New Roman" w:cs="Times New Roman"/>
        </w:rPr>
        <w:t>e</w:t>
      </w:r>
      <w:r w:rsidRPr="00085042">
        <w:rPr>
          <w:rFonts w:ascii="Times New Roman" w:hAnsi="Times New Roman" w:cs="Times New Roman"/>
        </w:rPr>
        <w:t>xcuses” charter model increases SAT and AP exam scores. Their findings have informed the expectations of this study. Regarding student group performance, I expect mixed results given the variation in AP and SAT achievement across the literature’s student groups. </w:t>
      </w:r>
    </w:p>
    <w:p w14:paraId="4C953888" w14:textId="77777777" w:rsidR="00085042" w:rsidRPr="00085042" w:rsidRDefault="00085042" w:rsidP="00085042">
      <w:pPr>
        <w:spacing w:line="240" w:lineRule="auto"/>
        <w:rPr>
          <w:rFonts w:ascii="Times New Roman" w:hAnsi="Times New Roman" w:cs="Times New Roman"/>
        </w:rPr>
      </w:pPr>
    </w:p>
    <w:p w14:paraId="13A691AD" w14:textId="77777777" w:rsidR="00085042" w:rsidRPr="00F90E74" w:rsidRDefault="00085042" w:rsidP="00085042">
      <w:pPr>
        <w:spacing w:after="0" w:line="240" w:lineRule="auto"/>
        <w:rPr>
          <w:rFonts w:ascii="Times New Roman" w:hAnsi="Times New Roman" w:cs="Times New Roman"/>
          <w:b/>
          <w:bCs/>
        </w:rPr>
      </w:pPr>
      <w:r w:rsidRPr="00F90E74">
        <w:rPr>
          <w:rFonts w:ascii="Times New Roman" w:hAnsi="Times New Roman" w:cs="Times New Roman"/>
          <w:b/>
          <w:bCs/>
        </w:rPr>
        <w:t>Setting and Intervention</w:t>
      </w:r>
    </w:p>
    <w:p w14:paraId="782F4C45" w14:textId="48B0E227" w:rsidR="00085042" w:rsidRPr="00085042" w:rsidRDefault="00085042" w:rsidP="00085042">
      <w:pPr>
        <w:spacing w:after="0" w:line="240" w:lineRule="auto"/>
        <w:rPr>
          <w:rFonts w:ascii="Times New Roman" w:hAnsi="Times New Roman" w:cs="Times New Roman"/>
        </w:rPr>
      </w:pPr>
      <w:r w:rsidRPr="00085042">
        <w:rPr>
          <w:rFonts w:ascii="Times New Roman" w:hAnsi="Times New Roman" w:cs="Times New Roman"/>
        </w:rPr>
        <w:t>Houston, Texas, is the setting for this study because it has a large and well-established charter school sector alongside a substantial number of traditional public schools</w:t>
      </w:r>
      <w:r w:rsidR="005E6942">
        <w:rPr>
          <w:rFonts w:ascii="Times New Roman" w:hAnsi="Times New Roman" w:cs="Times New Roman"/>
        </w:rPr>
        <w:t xml:space="preserve">. </w:t>
      </w:r>
      <w:r w:rsidRPr="00085042">
        <w:rPr>
          <w:rFonts w:ascii="Times New Roman" w:hAnsi="Times New Roman" w:cs="Times New Roman"/>
        </w:rPr>
        <w:t xml:space="preserve">The treatment group comprises five charter schools that are historically grounded in the </w:t>
      </w:r>
      <w:r w:rsidR="00C45526">
        <w:rPr>
          <w:rFonts w:ascii="Times New Roman" w:hAnsi="Times New Roman" w:cs="Times New Roman"/>
        </w:rPr>
        <w:t>“n</w:t>
      </w:r>
      <w:r w:rsidRPr="00085042">
        <w:rPr>
          <w:rFonts w:ascii="Times New Roman" w:hAnsi="Times New Roman" w:cs="Times New Roman"/>
        </w:rPr>
        <w:t xml:space="preserve">o </w:t>
      </w:r>
      <w:r w:rsidR="00C45526">
        <w:rPr>
          <w:rFonts w:ascii="Times New Roman" w:hAnsi="Times New Roman" w:cs="Times New Roman"/>
        </w:rPr>
        <w:t>e</w:t>
      </w:r>
      <w:r w:rsidRPr="00085042">
        <w:rPr>
          <w:rFonts w:ascii="Times New Roman" w:hAnsi="Times New Roman" w:cs="Times New Roman"/>
        </w:rPr>
        <w:t>xcuses</w:t>
      </w:r>
      <w:r w:rsidR="00C45526">
        <w:rPr>
          <w:rFonts w:ascii="Times New Roman" w:hAnsi="Times New Roman" w:cs="Times New Roman"/>
        </w:rPr>
        <w:t>”</w:t>
      </w:r>
      <w:r w:rsidRPr="00085042">
        <w:rPr>
          <w:rFonts w:ascii="Times New Roman" w:hAnsi="Times New Roman" w:cs="Times New Roman"/>
        </w:rPr>
        <w:t xml:space="preserve"> model. The comparison group is the charter school’s geographically proximate traditional public school located within an eight-mile radius. Schools were also matched to ensure demographic similarity within a ±5% margin across economically disadvantaged students, ELs, and SWD. The matching strategy </w:t>
      </w:r>
      <w:r w:rsidR="0096658E">
        <w:rPr>
          <w:rFonts w:ascii="Times New Roman" w:hAnsi="Times New Roman" w:cs="Times New Roman"/>
        </w:rPr>
        <w:t xml:space="preserve">was used to </w:t>
      </w:r>
      <w:r w:rsidRPr="00085042">
        <w:rPr>
          <w:rFonts w:ascii="Times New Roman" w:hAnsi="Times New Roman" w:cs="Times New Roman"/>
        </w:rPr>
        <w:t xml:space="preserve">reduce observable differences between groups and mitigate selection bias, </w:t>
      </w:r>
      <w:r w:rsidR="0096658E">
        <w:rPr>
          <w:rFonts w:ascii="Times New Roman" w:hAnsi="Times New Roman" w:cs="Times New Roman"/>
        </w:rPr>
        <w:t xml:space="preserve">which is </w:t>
      </w:r>
      <w:r w:rsidRPr="00085042">
        <w:rPr>
          <w:rFonts w:ascii="Times New Roman" w:hAnsi="Times New Roman" w:cs="Times New Roman"/>
        </w:rPr>
        <w:t>a common barrier in school choice research</w:t>
      </w:r>
      <w:r w:rsidR="0096658E">
        <w:rPr>
          <w:rFonts w:ascii="Times New Roman" w:hAnsi="Times New Roman" w:cs="Times New Roman"/>
        </w:rPr>
        <w:t xml:space="preserve"> and </w:t>
      </w:r>
      <w:r w:rsidRPr="00085042">
        <w:rPr>
          <w:rFonts w:ascii="Times New Roman" w:hAnsi="Times New Roman" w:cs="Times New Roman"/>
        </w:rPr>
        <w:t>can lead to outcomes being attributed to parental involvement or family motivation. It also strengthens the ability to interpret differences in college readiness outcomes as attributable to the school model rather than to demographic composition.</w:t>
      </w:r>
    </w:p>
    <w:p w14:paraId="498DFCA2" w14:textId="77777777" w:rsidR="00085042" w:rsidRPr="00085042" w:rsidRDefault="00085042" w:rsidP="00085042">
      <w:pPr>
        <w:spacing w:line="240" w:lineRule="auto"/>
        <w:rPr>
          <w:rFonts w:ascii="Times New Roman" w:hAnsi="Times New Roman" w:cs="Times New Roman"/>
        </w:rPr>
      </w:pPr>
    </w:p>
    <w:p w14:paraId="6721BF92" w14:textId="77777777" w:rsidR="00085042" w:rsidRPr="00F90E74" w:rsidRDefault="00085042" w:rsidP="00085042">
      <w:pPr>
        <w:spacing w:after="0" w:line="240" w:lineRule="auto"/>
        <w:rPr>
          <w:rFonts w:ascii="Times New Roman" w:hAnsi="Times New Roman" w:cs="Times New Roman"/>
          <w:b/>
          <w:bCs/>
        </w:rPr>
      </w:pPr>
      <w:r w:rsidRPr="00F90E74">
        <w:rPr>
          <w:rFonts w:ascii="Times New Roman" w:hAnsi="Times New Roman" w:cs="Times New Roman"/>
          <w:b/>
          <w:bCs/>
        </w:rPr>
        <w:t>Data Sources and Sample</w:t>
      </w:r>
    </w:p>
    <w:p w14:paraId="06230D4C" w14:textId="6172B6F2" w:rsidR="00085042" w:rsidRPr="00085042" w:rsidRDefault="00085042" w:rsidP="00085042">
      <w:pPr>
        <w:spacing w:after="0" w:line="240" w:lineRule="auto"/>
        <w:rPr>
          <w:rFonts w:ascii="Times New Roman" w:hAnsi="Times New Roman" w:cs="Times New Roman"/>
        </w:rPr>
      </w:pPr>
      <w:r w:rsidRPr="00085042">
        <w:rPr>
          <w:rFonts w:ascii="Times New Roman" w:hAnsi="Times New Roman" w:cs="Times New Roman"/>
        </w:rPr>
        <w:t xml:space="preserve">The study leveraged </w:t>
      </w:r>
      <w:r w:rsidR="00C45526">
        <w:rPr>
          <w:rFonts w:ascii="Times New Roman" w:hAnsi="Times New Roman" w:cs="Times New Roman"/>
        </w:rPr>
        <w:t>the city’s</w:t>
      </w:r>
      <w:r w:rsidRPr="00085042">
        <w:rPr>
          <w:rFonts w:ascii="Times New Roman" w:hAnsi="Times New Roman" w:cs="Times New Roman"/>
        </w:rPr>
        <w:t xml:space="preserve"> school finder map to identify five geographic partners for our treatment group, and enrollment data from the most recent Texas Academic Performance Report (TAPR) was used to ensure a demographic match. Table 1 in Appendix A lists each pair, its demographic variables, and the geographic proximity between them. Three postsecondary-readiness metrics for the 2023-24 school year were also collected from the TAPR. The first </w:t>
      </w:r>
      <w:r w:rsidRPr="00085042">
        <w:rPr>
          <w:rFonts w:ascii="Times New Roman" w:hAnsi="Times New Roman" w:cs="Times New Roman"/>
        </w:rPr>
        <w:lastRenderedPageBreak/>
        <w:t>metric is the percentage of graduating students who participated in the SAT/ACT and was used to contextualize a school’s performance. The second metric is the percentage of graduating students who met or exceeded the state's criterion score on the SAT or ACT. Graduating students had to score either “...a 40 on ACT English and Reading combined and at or above 22 on ACT Mathematics…or a 480 on the SAT evidence-based reading and writing and a 530 on SAT Mathematics” (Texas Education Agency, 202</w:t>
      </w:r>
      <w:r w:rsidR="00C25924">
        <w:rPr>
          <w:rFonts w:ascii="Times New Roman" w:hAnsi="Times New Roman" w:cs="Times New Roman"/>
        </w:rPr>
        <w:t>5</w:t>
      </w:r>
      <w:r w:rsidRPr="00085042">
        <w:rPr>
          <w:rFonts w:ascii="Times New Roman" w:hAnsi="Times New Roman" w:cs="Times New Roman"/>
        </w:rPr>
        <w:t xml:space="preserve">, p.29) to meet this criterion. The third metric is the percentage of graduating students who demonstrated college readiness by either meeting college readiness standards on the state assessment, earning dual credit, scoring at least a 3 on an AP exam or a 4 on an IB exam, earning an Associate's degree, or earning an Advanced Diploma as a student with disability. Both the second and third metrics were selected as outcome variables, since SAT/ACT scores and achievement in rigorous college coursework and exams are strong predictors of college success (Mattern et al., 2013; Marini et al., 2024). Additionally, the outcome variable was disaggregated by student group </w:t>
      </w:r>
      <w:r w:rsidR="0084081A">
        <w:rPr>
          <w:rFonts w:ascii="Times New Roman" w:hAnsi="Times New Roman" w:cs="Times New Roman"/>
        </w:rPr>
        <w:t>to assess the intervention's impact further</w:t>
      </w:r>
      <w:r w:rsidRPr="00085042">
        <w:rPr>
          <w:rFonts w:ascii="Times New Roman" w:hAnsi="Times New Roman" w:cs="Times New Roman"/>
        </w:rPr>
        <w:t xml:space="preserve">. By comparing each pair’s outcomes for students who are economically disadvantaged, EL, or SWD, the study assesses whether outcomes are consistent across students or whether the intervention is moderated by background. Descriptive statistics for the sample’s outcomes are summarized in Table 2 </w:t>
      </w:r>
      <w:r w:rsidR="00DF1A00">
        <w:rPr>
          <w:rFonts w:ascii="Times New Roman" w:hAnsi="Times New Roman" w:cs="Times New Roman"/>
        </w:rPr>
        <w:t xml:space="preserve">(see </w:t>
      </w:r>
      <w:r w:rsidRPr="00085042">
        <w:rPr>
          <w:rFonts w:ascii="Times New Roman" w:hAnsi="Times New Roman" w:cs="Times New Roman"/>
        </w:rPr>
        <w:t>Appendix A</w:t>
      </w:r>
      <w:r w:rsidR="00DF1A00">
        <w:rPr>
          <w:rFonts w:ascii="Times New Roman" w:hAnsi="Times New Roman" w:cs="Times New Roman"/>
        </w:rPr>
        <w:t>)</w:t>
      </w:r>
      <w:r w:rsidRPr="00085042">
        <w:rPr>
          <w:rFonts w:ascii="Times New Roman" w:hAnsi="Times New Roman" w:cs="Times New Roman"/>
        </w:rPr>
        <w:t xml:space="preserve">. The outcomes are also shown in a bar graph in Figure 1 </w:t>
      </w:r>
      <w:r w:rsidR="00DF1A00">
        <w:rPr>
          <w:rFonts w:ascii="Times New Roman" w:hAnsi="Times New Roman" w:cs="Times New Roman"/>
        </w:rPr>
        <w:t xml:space="preserve">(see </w:t>
      </w:r>
      <w:r w:rsidRPr="00085042">
        <w:rPr>
          <w:rFonts w:ascii="Times New Roman" w:hAnsi="Times New Roman" w:cs="Times New Roman"/>
        </w:rPr>
        <w:t>Appendix B</w:t>
      </w:r>
      <w:r w:rsidR="00DF1A00">
        <w:rPr>
          <w:rFonts w:ascii="Times New Roman" w:hAnsi="Times New Roman" w:cs="Times New Roman"/>
        </w:rPr>
        <w:t>)</w:t>
      </w:r>
      <w:r w:rsidRPr="00085042">
        <w:rPr>
          <w:rFonts w:ascii="Times New Roman" w:hAnsi="Times New Roman" w:cs="Times New Roman"/>
        </w:rPr>
        <w:t>.</w:t>
      </w:r>
    </w:p>
    <w:p w14:paraId="09C1D628" w14:textId="77777777" w:rsidR="00085042" w:rsidRPr="00085042" w:rsidRDefault="00085042" w:rsidP="00085042">
      <w:pPr>
        <w:spacing w:after="0" w:line="240" w:lineRule="auto"/>
        <w:rPr>
          <w:rFonts w:ascii="Times New Roman" w:hAnsi="Times New Roman" w:cs="Times New Roman"/>
        </w:rPr>
      </w:pPr>
    </w:p>
    <w:p w14:paraId="6C418330" w14:textId="77777777" w:rsidR="00085042" w:rsidRPr="00F90E74" w:rsidRDefault="00085042" w:rsidP="00085042">
      <w:pPr>
        <w:spacing w:after="0" w:line="240" w:lineRule="auto"/>
        <w:rPr>
          <w:rFonts w:ascii="Times New Roman" w:hAnsi="Times New Roman" w:cs="Times New Roman"/>
          <w:b/>
          <w:bCs/>
        </w:rPr>
      </w:pPr>
      <w:r w:rsidRPr="00F90E74">
        <w:rPr>
          <w:rFonts w:ascii="Times New Roman" w:hAnsi="Times New Roman" w:cs="Times New Roman"/>
          <w:b/>
          <w:bCs/>
        </w:rPr>
        <w:t>Analytic Method</w:t>
      </w:r>
    </w:p>
    <w:p w14:paraId="2852AD4B" w14:textId="04B6A94A" w:rsidR="00085042" w:rsidRPr="00085042" w:rsidRDefault="00085042" w:rsidP="005E6942">
      <w:pPr>
        <w:spacing w:after="0" w:line="240" w:lineRule="auto"/>
        <w:rPr>
          <w:rFonts w:ascii="Times New Roman" w:hAnsi="Times New Roman" w:cs="Times New Roman"/>
        </w:rPr>
      </w:pPr>
      <w:r w:rsidRPr="00085042">
        <w:rPr>
          <w:rFonts w:ascii="Times New Roman" w:hAnsi="Times New Roman" w:cs="Times New Roman"/>
        </w:rPr>
        <w:t>To assess the extent of college</w:t>
      </w:r>
      <w:r w:rsidR="00C45526">
        <w:rPr>
          <w:rFonts w:ascii="Times New Roman" w:hAnsi="Times New Roman" w:cs="Times New Roman"/>
        </w:rPr>
        <w:t xml:space="preserve"> </w:t>
      </w:r>
      <w:r w:rsidRPr="00085042">
        <w:rPr>
          <w:rFonts w:ascii="Times New Roman" w:hAnsi="Times New Roman" w:cs="Times New Roman"/>
        </w:rPr>
        <w:t xml:space="preserve">readiness benchmarks between the treatment and comparison groups, three baseline performances were first established to define the normative performance within the sample. The baseline performances were the means of the treatment, comparison, and overall samples. They were calculated in Excel using the AVERAGE function. By using the </w:t>
      </w:r>
      <w:proofErr w:type="gramStart"/>
      <w:r w:rsidRPr="00085042">
        <w:rPr>
          <w:rFonts w:ascii="Times New Roman" w:hAnsi="Times New Roman" w:cs="Times New Roman"/>
        </w:rPr>
        <w:t>mean</w:t>
      </w:r>
      <w:proofErr w:type="gramEnd"/>
      <w:r w:rsidRPr="00085042">
        <w:rPr>
          <w:rFonts w:ascii="Times New Roman" w:hAnsi="Times New Roman" w:cs="Times New Roman"/>
        </w:rPr>
        <w:t xml:space="preserve"> of each group and the sample, the baseline performance served as a critical reference point, indicating which schools and/or pairs may be under- or over-performing. The standard deviation</w:t>
      </w:r>
      <w:r w:rsidR="00C45526">
        <w:rPr>
          <w:rFonts w:ascii="Times New Roman" w:hAnsi="Times New Roman" w:cs="Times New Roman"/>
        </w:rPr>
        <w:t xml:space="preserve"> was</w:t>
      </w:r>
      <w:r w:rsidRPr="00085042">
        <w:rPr>
          <w:rFonts w:ascii="Times New Roman" w:hAnsi="Times New Roman" w:cs="Times New Roman"/>
        </w:rPr>
        <w:t xml:space="preserve"> also calculated to assess variability, and the study used the STDEV function in Excel to determine the spread across schools. The normative performance is illustrated in Figures 2A and 2B</w:t>
      </w:r>
      <w:r w:rsidR="00DF1A00">
        <w:rPr>
          <w:rFonts w:ascii="Times New Roman" w:hAnsi="Times New Roman" w:cs="Times New Roman"/>
        </w:rPr>
        <w:t xml:space="preserve"> (see Appendix B)</w:t>
      </w:r>
      <w:r w:rsidRPr="00085042">
        <w:rPr>
          <w:rFonts w:ascii="Times New Roman" w:hAnsi="Times New Roman" w:cs="Times New Roman"/>
        </w:rPr>
        <w:t xml:space="preserve">, which show the </w:t>
      </w:r>
      <w:proofErr w:type="gramStart"/>
      <w:r w:rsidRPr="00085042">
        <w:rPr>
          <w:rFonts w:ascii="Times New Roman" w:hAnsi="Times New Roman" w:cs="Times New Roman"/>
        </w:rPr>
        <w:t>three baseline</w:t>
      </w:r>
      <w:proofErr w:type="gramEnd"/>
      <w:r w:rsidRPr="00085042">
        <w:rPr>
          <w:rFonts w:ascii="Times New Roman" w:hAnsi="Times New Roman" w:cs="Times New Roman"/>
        </w:rPr>
        <w:t xml:space="preserve"> metrics and each pair's performance in a bar graph. </w:t>
      </w:r>
    </w:p>
    <w:p w14:paraId="48F1EF4A" w14:textId="2AC18CB3" w:rsidR="00085042" w:rsidRDefault="00085042" w:rsidP="005E6942">
      <w:pPr>
        <w:spacing w:after="0" w:line="240" w:lineRule="auto"/>
        <w:rPr>
          <w:rFonts w:ascii="Times New Roman" w:hAnsi="Times New Roman" w:cs="Times New Roman"/>
        </w:rPr>
      </w:pPr>
      <w:r w:rsidRPr="00085042">
        <w:rPr>
          <w:rFonts w:ascii="Times New Roman" w:hAnsi="Times New Roman" w:cs="Times New Roman"/>
        </w:rPr>
        <w:tab/>
        <w:t xml:space="preserve">After identifying the baseline performance, the mean and standard deviation were calculated for each student group to assess the consistency of the intervention across a diverse population. The mean percentage-point difference between the treatment and comparison groups was also calculated in Excel to quantify the performance gap across the sample and is reported in Table </w:t>
      </w:r>
      <w:r w:rsidR="00D96394">
        <w:rPr>
          <w:rFonts w:ascii="Times New Roman" w:hAnsi="Times New Roman" w:cs="Times New Roman"/>
        </w:rPr>
        <w:t>2</w:t>
      </w:r>
      <w:r w:rsidR="00DF1A00">
        <w:rPr>
          <w:rFonts w:ascii="Times New Roman" w:hAnsi="Times New Roman" w:cs="Times New Roman"/>
        </w:rPr>
        <w:t xml:space="preserve">. </w:t>
      </w:r>
      <w:r w:rsidRPr="00085042">
        <w:rPr>
          <w:rFonts w:ascii="Times New Roman" w:hAnsi="Times New Roman" w:cs="Times New Roman"/>
        </w:rPr>
        <w:t>This approach is appropriate because it addresses the extent of the performance gap among the outcome variables. It provides a clear, measurable metric that determines whether the treatment group has a relative advantage over its comparison group and whether it is producing equitable outcomes across student groups. </w:t>
      </w:r>
    </w:p>
    <w:p w14:paraId="14761EC9" w14:textId="77777777" w:rsidR="005E6942" w:rsidRPr="00085042" w:rsidRDefault="005E6942" w:rsidP="005E6942">
      <w:pPr>
        <w:spacing w:after="0" w:line="240" w:lineRule="auto"/>
        <w:rPr>
          <w:rFonts w:ascii="Times New Roman" w:hAnsi="Times New Roman" w:cs="Times New Roman"/>
        </w:rPr>
      </w:pPr>
    </w:p>
    <w:p w14:paraId="0475C094" w14:textId="77777777" w:rsidR="00085042" w:rsidRPr="00F90E74" w:rsidRDefault="00085042" w:rsidP="00085042">
      <w:pPr>
        <w:spacing w:after="0" w:line="240" w:lineRule="auto"/>
        <w:rPr>
          <w:rFonts w:ascii="Times New Roman" w:hAnsi="Times New Roman" w:cs="Times New Roman"/>
          <w:b/>
          <w:bCs/>
        </w:rPr>
      </w:pPr>
      <w:r w:rsidRPr="00F90E74">
        <w:rPr>
          <w:rFonts w:ascii="Times New Roman" w:hAnsi="Times New Roman" w:cs="Times New Roman"/>
          <w:b/>
          <w:bCs/>
        </w:rPr>
        <w:t>Findings</w:t>
      </w:r>
    </w:p>
    <w:p w14:paraId="3469A750" w14:textId="77777777" w:rsidR="00085042" w:rsidRPr="00F90E74" w:rsidRDefault="00085042" w:rsidP="00085042">
      <w:pPr>
        <w:spacing w:after="0" w:line="240" w:lineRule="auto"/>
        <w:rPr>
          <w:rFonts w:ascii="Times New Roman" w:hAnsi="Times New Roman" w:cs="Times New Roman"/>
          <w:b/>
          <w:bCs/>
        </w:rPr>
      </w:pPr>
      <w:r w:rsidRPr="00F90E74">
        <w:rPr>
          <w:rFonts w:ascii="Times New Roman" w:hAnsi="Times New Roman" w:cs="Times New Roman"/>
          <w:b/>
          <w:bCs/>
        </w:rPr>
        <w:t>SAT/ACT Performance</w:t>
      </w:r>
    </w:p>
    <w:p w14:paraId="7969B622" w14:textId="386DA13F" w:rsidR="00085042" w:rsidRDefault="00085042" w:rsidP="00085042">
      <w:pPr>
        <w:spacing w:after="0" w:line="240" w:lineRule="auto"/>
        <w:rPr>
          <w:rFonts w:ascii="Times New Roman" w:hAnsi="Times New Roman" w:cs="Times New Roman"/>
        </w:rPr>
      </w:pPr>
      <w:r w:rsidRPr="00085042">
        <w:rPr>
          <w:rFonts w:ascii="Times New Roman" w:hAnsi="Times New Roman" w:cs="Times New Roman"/>
        </w:rPr>
        <w:t xml:space="preserve">As illustrated in Figure 2A, the data </w:t>
      </w:r>
      <w:r w:rsidR="00D96394" w:rsidRPr="00085042">
        <w:rPr>
          <w:rFonts w:ascii="Times New Roman" w:hAnsi="Times New Roman" w:cs="Times New Roman"/>
        </w:rPr>
        <w:t>reveals</w:t>
      </w:r>
      <w:r w:rsidRPr="00085042">
        <w:rPr>
          <w:rFonts w:ascii="Times New Roman" w:hAnsi="Times New Roman" w:cs="Times New Roman"/>
        </w:rPr>
        <w:t xml:space="preserve"> a substantial performance gap between the treatment and its comparison group in meeting the SAT/ACT </w:t>
      </w:r>
      <w:r w:rsidR="00FE6E33" w:rsidRPr="00085042">
        <w:rPr>
          <w:rFonts w:ascii="Times New Roman" w:hAnsi="Times New Roman" w:cs="Times New Roman"/>
        </w:rPr>
        <w:t>criteria</w:t>
      </w:r>
      <w:r w:rsidRPr="00085042">
        <w:rPr>
          <w:rFonts w:ascii="Times New Roman" w:hAnsi="Times New Roman" w:cs="Times New Roman"/>
        </w:rPr>
        <w:t>. Charter schools have an average of 16.4% of students meeting this criterion, while traditional public schools have an average of only 5.9%. This represents a 10.5 percentage point difference</w:t>
      </w:r>
      <w:r w:rsidR="00D96394">
        <w:rPr>
          <w:rFonts w:ascii="Times New Roman" w:hAnsi="Times New Roman" w:cs="Times New Roman"/>
        </w:rPr>
        <w:t xml:space="preserve">. </w:t>
      </w:r>
      <w:r w:rsidR="003B4C2D">
        <w:rPr>
          <w:rFonts w:ascii="Times New Roman" w:hAnsi="Times New Roman" w:cs="Times New Roman"/>
        </w:rPr>
        <w:t>While</w:t>
      </w:r>
      <w:r w:rsidRPr="00085042">
        <w:rPr>
          <w:rFonts w:ascii="Times New Roman" w:hAnsi="Times New Roman" w:cs="Times New Roman"/>
        </w:rPr>
        <w:t xml:space="preserve"> this 10.5% gap demonstrates that charters outperform their matched counterparts </w:t>
      </w:r>
      <w:r w:rsidR="00DF1A00" w:rsidRPr="00085042">
        <w:rPr>
          <w:rFonts w:ascii="Times New Roman" w:hAnsi="Times New Roman" w:cs="Times New Roman"/>
        </w:rPr>
        <w:t>on</w:t>
      </w:r>
      <w:r w:rsidRPr="00085042">
        <w:rPr>
          <w:rFonts w:ascii="Times New Roman" w:hAnsi="Times New Roman" w:cs="Times New Roman"/>
        </w:rPr>
        <w:t xml:space="preserve"> SAT/ACT criterion outcomes, both </w:t>
      </w:r>
      <w:r w:rsidR="00905092">
        <w:rPr>
          <w:rFonts w:ascii="Times New Roman" w:hAnsi="Times New Roman" w:cs="Times New Roman"/>
        </w:rPr>
        <w:t xml:space="preserve">Table 2 </w:t>
      </w:r>
      <w:r w:rsidR="00905092">
        <w:rPr>
          <w:rFonts w:ascii="Times New Roman" w:hAnsi="Times New Roman" w:cs="Times New Roman"/>
        </w:rPr>
        <w:lastRenderedPageBreak/>
        <w:t xml:space="preserve">and </w:t>
      </w:r>
      <w:r w:rsidRPr="00085042">
        <w:rPr>
          <w:rFonts w:ascii="Times New Roman" w:hAnsi="Times New Roman" w:cs="Times New Roman"/>
        </w:rPr>
        <w:t xml:space="preserve">Figure 2A reveal geographic variation. In Northeast and South Houston, both charter schools performed below the sample and the charter mean. The gap also narrowed between each pair to approximately 5 percentage points, falling below the mean performance gap. In contrast, charter schools in the Northside and Southwest parts of the city exceeded the sample and charter mean. The gap between each pair was also greater than the 10.5% average, further widening the extent of the instructional impact. The variation among the charter schools is </w:t>
      </w:r>
      <w:r w:rsidR="003B4C2D">
        <w:rPr>
          <w:rFonts w:ascii="Times New Roman" w:hAnsi="Times New Roman" w:cs="Times New Roman"/>
        </w:rPr>
        <w:t>also</w:t>
      </w:r>
      <w:r w:rsidRPr="00085042">
        <w:rPr>
          <w:rFonts w:ascii="Times New Roman" w:hAnsi="Times New Roman" w:cs="Times New Roman"/>
        </w:rPr>
        <w:t xml:space="preserve"> </w:t>
      </w:r>
      <w:r w:rsidR="003B4C2D">
        <w:rPr>
          <w:rFonts w:ascii="Times New Roman" w:hAnsi="Times New Roman" w:cs="Times New Roman"/>
        </w:rPr>
        <w:t>evident in</w:t>
      </w:r>
      <w:r w:rsidRPr="00085042">
        <w:rPr>
          <w:rFonts w:ascii="Times New Roman" w:hAnsi="Times New Roman" w:cs="Times New Roman"/>
        </w:rPr>
        <w:t xml:space="preserve"> the standard deviation in Table </w:t>
      </w:r>
      <w:r w:rsidR="00D96394">
        <w:rPr>
          <w:rFonts w:ascii="Times New Roman" w:hAnsi="Times New Roman" w:cs="Times New Roman"/>
        </w:rPr>
        <w:t>2</w:t>
      </w:r>
      <w:r w:rsidRPr="00085042">
        <w:rPr>
          <w:rFonts w:ascii="Times New Roman" w:hAnsi="Times New Roman" w:cs="Times New Roman"/>
        </w:rPr>
        <w:t>, which shows a 7.4% variation among the schools. Houston’s traditional public schools, conversely, have a smaller variation in the percentage of students meeting the SAT/ACT criterion</w:t>
      </w:r>
      <w:r>
        <w:rPr>
          <w:rFonts w:ascii="Times New Roman" w:hAnsi="Times New Roman" w:cs="Times New Roman"/>
        </w:rPr>
        <w:t xml:space="preserve">. </w:t>
      </w:r>
    </w:p>
    <w:p w14:paraId="3B75323C" w14:textId="4A5D3562" w:rsidR="00085042" w:rsidRDefault="00085042" w:rsidP="00F90E74">
      <w:pPr>
        <w:spacing w:after="0" w:line="240" w:lineRule="auto"/>
        <w:ind w:firstLine="720"/>
        <w:rPr>
          <w:rFonts w:ascii="Times New Roman" w:hAnsi="Times New Roman" w:cs="Times New Roman"/>
        </w:rPr>
      </w:pPr>
      <w:r w:rsidRPr="00085042">
        <w:rPr>
          <w:rFonts w:ascii="Times New Roman" w:hAnsi="Times New Roman" w:cs="Times New Roman"/>
        </w:rPr>
        <w:t xml:space="preserve">Table </w:t>
      </w:r>
      <w:r w:rsidR="00D96394">
        <w:rPr>
          <w:rFonts w:ascii="Times New Roman" w:hAnsi="Times New Roman" w:cs="Times New Roman"/>
        </w:rPr>
        <w:t>2</w:t>
      </w:r>
      <w:r w:rsidRPr="00085042">
        <w:rPr>
          <w:rFonts w:ascii="Times New Roman" w:hAnsi="Times New Roman" w:cs="Times New Roman"/>
        </w:rPr>
        <w:t xml:space="preserve"> also shows that charter schools outperform their matches in meeting the SAT/ACT criterion for economically disadvantaged students. The mean and standard deviation for economically disadvantaged students </w:t>
      </w:r>
      <w:proofErr w:type="gramStart"/>
      <w:r w:rsidR="00FE6E33">
        <w:rPr>
          <w:rFonts w:ascii="Times New Roman" w:hAnsi="Times New Roman" w:cs="Times New Roman"/>
        </w:rPr>
        <w:t>are</w:t>
      </w:r>
      <w:proofErr w:type="gramEnd"/>
      <w:r w:rsidRPr="00085042">
        <w:rPr>
          <w:rFonts w:ascii="Times New Roman" w:hAnsi="Times New Roman" w:cs="Times New Roman"/>
        </w:rPr>
        <w:t xml:space="preserve"> also </w:t>
      </w:r>
      <w:proofErr w:type="gramStart"/>
      <w:r w:rsidRPr="00085042">
        <w:rPr>
          <w:rFonts w:ascii="Times New Roman" w:hAnsi="Times New Roman" w:cs="Times New Roman"/>
        </w:rPr>
        <w:t>similar to</w:t>
      </w:r>
      <w:proofErr w:type="gramEnd"/>
      <w:r w:rsidRPr="00085042">
        <w:rPr>
          <w:rFonts w:ascii="Times New Roman" w:hAnsi="Times New Roman" w:cs="Times New Roman"/>
        </w:rPr>
        <w:t xml:space="preserve"> those of the overall student group. </w:t>
      </w:r>
      <w:r w:rsidR="003B4C2D">
        <w:rPr>
          <w:rFonts w:ascii="Times New Roman" w:hAnsi="Times New Roman" w:cs="Times New Roman"/>
        </w:rPr>
        <w:t>The outperformance of charter schools</w:t>
      </w:r>
      <w:r w:rsidRPr="00085042">
        <w:rPr>
          <w:rFonts w:ascii="Times New Roman" w:hAnsi="Times New Roman" w:cs="Times New Roman"/>
        </w:rPr>
        <w:t xml:space="preserve"> remains apparent for ELs, as the mean for this student group is 4 percentage points higher than that of their match. However, the mean difference for ELs is smaller than that </w:t>
      </w:r>
      <w:r w:rsidR="003B4C2D" w:rsidRPr="00085042">
        <w:rPr>
          <w:rFonts w:ascii="Times New Roman" w:hAnsi="Times New Roman" w:cs="Times New Roman"/>
        </w:rPr>
        <w:t>of</w:t>
      </w:r>
      <w:r w:rsidRPr="00085042">
        <w:rPr>
          <w:rFonts w:ascii="Times New Roman" w:hAnsi="Times New Roman" w:cs="Times New Roman"/>
        </w:rPr>
        <w:t xml:space="preserve"> the overall student group, and the standard deviation shows greater variation in EL students' outcomes at charter schools than at traditional public schools. When assessing the SAT/ACT criterion for SWD, the charters do not outperform their match. On average, both </w:t>
      </w:r>
      <w:r w:rsidR="003B4C2D">
        <w:rPr>
          <w:rFonts w:ascii="Times New Roman" w:hAnsi="Times New Roman" w:cs="Times New Roman"/>
        </w:rPr>
        <w:t>models</w:t>
      </w:r>
      <w:r w:rsidRPr="00085042">
        <w:rPr>
          <w:rFonts w:ascii="Times New Roman" w:hAnsi="Times New Roman" w:cs="Times New Roman"/>
        </w:rPr>
        <w:t xml:space="preserve"> had approximately 1.3% of SWD meet the criterion. Notably, SWD outcomes at charter schools do not vary, whereas there is a greater variance at traditional public schools. </w:t>
      </w:r>
    </w:p>
    <w:p w14:paraId="3AE17045" w14:textId="77777777" w:rsidR="00F90E74" w:rsidRPr="00085042" w:rsidRDefault="00F90E74" w:rsidP="00F90E74">
      <w:pPr>
        <w:spacing w:after="0" w:line="240" w:lineRule="auto"/>
        <w:ind w:firstLine="720"/>
        <w:rPr>
          <w:rFonts w:ascii="Times New Roman" w:hAnsi="Times New Roman" w:cs="Times New Roman"/>
        </w:rPr>
      </w:pPr>
    </w:p>
    <w:p w14:paraId="1A150935" w14:textId="77777777" w:rsidR="00085042" w:rsidRPr="00F90E74" w:rsidRDefault="00085042" w:rsidP="00085042">
      <w:pPr>
        <w:spacing w:after="0" w:line="240" w:lineRule="auto"/>
        <w:rPr>
          <w:rFonts w:ascii="Times New Roman" w:hAnsi="Times New Roman" w:cs="Times New Roman"/>
          <w:b/>
          <w:bCs/>
        </w:rPr>
      </w:pPr>
      <w:r w:rsidRPr="00F90E74">
        <w:rPr>
          <w:rFonts w:ascii="Times New Roman" w:hAnsi="Times New Roman" w:cs="Times New Roman"/>
          <w:b/>
          <w:bCs/>
        </w:rPr>
        <w:t>College Readiness Performance</w:t>
      </w:r>
    </w:p>
    <w:p w14:paraId="340EEED3" w14:textId="0E47A658" w:rsidR="00085042" w:rsidRPr="00085042" w:rsidRDefault="00085042" w:rsidP="00085042">
      <w:pPr>
        <w:spacing w:after="0" w:line="240" w:lineRule="auto"/>
        <w:rPr>
          <w:rFonts w:ascii="Times New Roman" w:hAnsi="Times New Roman" w:cs="Times New Roman"/>
        </w:rPr>
      </w:pPr>
      <w:r w:rsidRPr="00085042">
        <w:rPr>
          <w:rFonts w:ascii="Times New Roman" w:hAnsi="Times New Roman" w:cs="Times New Roman"/>
        </w:rPr>
        <w:t xml:space="preserve">In Figure 2B, charter schools continue to substantially outperform their partner in terms of students demonstrating college readiness. Charter high schools have an almost perfect proficiency in meeting this outcome, with an overall student group mean of 97.7%. Traditional public schools, on the other hand, have an average of only 77.9%. This represents a 19.8 </w:t>
      </w:r>
      <w:proofErr w:type="gramStart"/>
      <w:r w:rsidRPr="00085042">
        <w:rPr>
          <w:rFonts w:ascii="Times New Roman" w:hAnsi="Times New Roman" w:cs="Times New Roman"/>
        </w:rPr>
        <w:t>percentage-point</w:t>
      </w:r>
      <w:proofErr w:type="gramEnd"/>
      <w:r w:rsidRPr="00085042">
        <w:rPr>
          <w:rFonts w:ascii="Times New Roman" w:hAnsi="Times New Roman" w:cs="Times New Roman"/>
        </w:rPr>
        <w:t xml:space="preserve"> difference. Geographic variation does not appear to moderate the gap in this variable, as all charter schools performed above the sample mean and near or above the charter mean. Th</w:t>
      </w:r>
      <w:r w:rsidR="005E6942">
        <w:rPr>
          <w:rFonts w:ascii="Times New Roman" w:hAnsi="Times New Roman" w:cs="Times New Roman"/>
        </w:rPr>
        <w:t>e data</w:t>
      </w:r>
      <w:r w:rsidRPr="00085042">
        <w:rPr>
          <w:rFonts w:ascii="Times New Roman" w:hAnsi="Times New Roman" w:cs="Times New Roman"/>
        </w:rPr>
        <w:t xml:space="preserve"> is further reinforced in Table </w:t>
      </w:r>
      <w:r w:rsidR="00D96394">
        <w:rPr>
          <w:rFonts w:ascii="Times New Roman" w:hAnsi="Times New Roman" w:cs="Times New Roman"/>
        </w:rPr>
        <w:t>2</w:t>
      </w:r>
      <w:r w:rsidRPr="00085042">
        <w:rPr>
          <w:rFonts w:ascii="Times New Roman" w:hAnsi="Times New Roman" w:cs="Times New Roman"/>
        </w:rPr>
        <w:t>, which shows that the standard deviation across charter schools is 1%, indicating a low spread in the percentage of students demonstrating college readiness.</w:t>
      </w:r>
    </w:p>
    <w:p w14:paraId="185219B1" w14:textId="196D9D88" w:rsidR="00085042" w:rsidRDefault="00085042" w:rsidP="00EC1EC9">
      <w:pPr>
        <w:spacing w:after="0" w:line="240" w:lineRule="auto"/>
        <w:rPr>
          <w:rFonts w:ascii="Times New Roman" w:hAnsi="Times New Roman" w:cs="Times New Roman"/>
        </w:rPr>
      </w:pPr>
      <w:r w:rsidRPr="00085042">
        <w:rPr>
          <w:rFonts w:ascii="Times New Roman" w:hAnsi="Times New Roman" w:cs="Times New Roman"/>
        </w:rPr>
        <w:tab/>
        <w:t>High levels of college-readiness attainment persist across all charter student groups. They have an average of 98.5% of economically disadvantaged students, 97.3% of ELs, and 96.9% of SWDs who demonstrate college readiness. Th</w:t>
      </w:r>
      <w:r w:rsidR="005E6942">
        <w:rPr>
          <w:rFonts w:ascii="Times New Roman" w:hAnsi="Times New Roman" w:cs="Times New Roman"/>
        </w:rPr>
        <w:t>ese rates</w:t>
      </w:r>
      <w:r w:rsidRPr="00085042">
        <w:rPr>
          <w:rFonts w:ascii="Times New Roman" w:hAnsi="Times New Roman" w:cs="Times New Roman"/>
        </w:rPr>
        <w:t xml:space="preserve"> </w:t>
      </w:r>
      <w:r w:rsidR="005E6942">
        <w:rPr>
          <w:rFonts w:ascii="Times New Roman" w:hAnsi="Times New Roman" w:cs="Times New Roman"/>
        </w:rPr>
        <w:t>compare</w:t>
      </w:r>
      <w:r w:rsidRPr="00085042">
        <w:rPr>
          <w:rFonts w:ascii="Times New Roman" w:hAnsi="Times New Roman" w:cs="Times New Roman"/>
        </w:rPr>
        <w:t xml:space="preserve"> with </w:t>
      </w:r>
      <w:r w:rsidR="005E6942">
        <w:rPr>
          <w:rFonts w:ascii="Times New Roman" w:hAnsi="Times New Roman" w:cs="Times New Roman"/>
        </w:rPr>
        <w:t xml:space="preserve">those of </w:t>
      </w:r>
      <w:r w:rsidRPr="00085042">
        <w:rPr>
          <w:rFonts w:ascii="Times New Roman" w:hAnsi="Times New Roman" w:cs="Times New Roman"/>
        </w:rPr>
        <w:t>their matched traditional public school, where only 78.3% of economically disadvantaged students, 74.9% of ELs, and 73.4% of SWDs demonstrate college readiness. This results in a mean difference of approximately 20 to 23.5 percentage points between charter and traditional public schools, with the largest gap occurring among SWD students. The variation across charter student groups is relatively small for economically disadvantaged students and ELs, but greater in their matched schools. A similar trend in variability is observed for SWD.  Moreover, the mean difference for the three student groups is one to three percentage points higher than the overall student group, indicating a positive difference. </w:t>
      </w:r>
    </w:p>
    <w:p w14:paraId="3D18CE9F" w14:textId="77777777" w:rsidR="00EC1EC9" w:rsidRPr="00085042" w:rsidRDefault="00EC1EC9" w:rsidP="00EC1EC9">
      <w:pPr>
        <w:spacing w:after="0" w:line="240" w:lineRule="auto"/>
        <w:rPr>
          <w:rFonts w:ascii="Times New Roman" w:hAnsi="Times New Roman" w:cs="Times New Roman"/>
        </w:rPr>
      </w:pPr>
    </w:p>
    <w:p w14:paraId="4A78320A" w14:textId="77777777" w:rsidR="00085042" w:rsidRPr="00F90E74" w:rsidRDefault="00085042" w:rsidP="00085042">
      <w:pPr>
        <w:spacing w:after="0" w:line="240" w:lineRule="auto"/>
        <w:rPr>
          <w:rFonts w:ascii="Times New Roman" w:hAnsi="Times New Roman" w:cs="Times New Roman"/>
          <w:b/>
          <w:bCs/>
        </w:rPr>
      </w:pPr>
      <w:r w:rsidRPr="00F90E74">
        <w:rPr>
          <w:rFonts w:ascii="Times New Roman" w:hAnsi="Times New Roman" w:cs="Times New Roman"/>
          <w:b/>
          <w:bCs/>
        </w:rPr>
        <w:t>Discussion and Conclusion</w:t>
      </w:r>
    </w:p>
    <w:p w14:paraId="339360BD" w14:textId="10D440D7" w:rsidR="009C224E" w:rsidRDefault="009C224E" w:rsidP="009C224E">
      <w:pPr>
        <w:spacing w:after="0" w:line="240" w:lineRule="auto"/>
        <w:rPr>
          <w:rFonts w:ascii="Times New Roman" w:hAnsi="Times New Roman" w:cs="Times New Roman"/>
        </w:rPr>
      </w:pPr>
      <w:r>
        <w:rPr>
          <w:rFonts w:ascii="Times New Roman" w:hAnsi="Times New Roman" w:cs="Times New Roman"/>
        </w:rPr>
        <w:t>The findings indicate</w:t>
      </w:r>
      <w:r w:rsidR="00085042" w:rsidRPr="00085042">
        <w:rPr>
          <w:rFonts w:ascii="Times New Roman" w:hAnsi="Times New Roman" w:cs="Times New Roman"/>
        </w:rPr>
        <w:t xml:space="preserve"> that, overall, students attending a charter high school are more likely to meet the state's SAT/ACT criterion than their </w:t>
      </w:r>
      <w:r>
        <w:rPr>
          <w:rFonts w:ascii="Times New Roman" w:hAnsi="Times New Roman" w:cs="Times New Roman"/>
        </w:rPr>
        <w:t>peers in traditional public schools</w:t>
      </w:r>
      <w:r w:rsidR="00982A43">
        <w:rPr>
          <w:rFonts w:ascii="Times New Roman" w:hAnsi="Times New Roman" w:cs="Times New Roman"/>
        </w:rPr>
        <w:t>. This trend</w:t>
      </w:r>
      <w:r w:rsidR="00085042" w:rsidRPr="00085042">
        <w:rPr>
          <w:rFonts w:ascii="Times New Roman" w:hAnsi="Times New Roman" w:cs="Times New Roman"/>
        </w:rPr>
        <w:t xml:space="preserve"> holds </w:t>
      </w:r>
      <w:r w:rsidR="00085042" w:rsidRPr="00085042">
        <w:rPr>
          <w:rFonts w:ascii="Times New Roman" w:hAnsi="Times New Roman" w:cs="Times New Roman"/>
        </w:rPr>
        <w:lastRenderedPageBreak/>
        <w:t>for economically disadvantaged student</w:t>
      </w:r>
      <w:r w:rsidR="00982A43">
        <w:rPr>
          <w:rFonts w:ascii="Times New Roman" w:hAnsi="Times New Roman" w:cs="Times New Roman"/>
        </w:rPr>
        <w:t>s, but</w:t>
      </w:r>
      <w:r w:rsidR="00085042" w:rsidRPr="00085042">
        <w:rPr>
          <w:rFonts w:ascii="Times New Roman" w:hAnsi="Times New Roman" w:cs="Times New Roman"/>
        </w:rPr>
        <w:t xml:space="preserve"> </w:t>
      </w:r>
      <w:r w:rsidR="00982A43">
        <w:rPr>
          <w:rFonts w:ascii="Times New Roman" w:hAnsi="Times New Roman" w:cs="Times New Roman"/>
        </w:rPr>
        <w:t>t</w:t>
      </w:r>
      <w:r w:rsidR="00085042" w:rsidRPr="00085042">
        <w:rPr>
          <w:rFonts w:ascii="Times New Roman" w:hAnsi="Times New Roman" w:cs="Times New Roman"/>
        </w:rPr>
        <w:t>his likelihood is lower for SWD</w:t>
      </w:r>
      <w:r w:rsidR="00085042">
        <w:rPr>
          <w:rFonts w:ascii="Times New Roman" w:hAnsi="Times New Roman" w:cs="Times New Roman"/>
        </w:rPr>
        <w:t xml:space="preserve"> and ELs</w:t>
      </w:r>
      <w:r w:rsidR="00085042" w:rsidRPr="00085042">
        <w:rPr>
          <w:rFonts w:ascii="Times New Roman" w:hAnsi="Times New Roman" w:cs="Times New Roman"/>
        </w:rPr>
        <w:t xml:space="preserve"> and may </w:t>
      </w:r>
      <w:r w:rsidR="00085042">
        <w:rPr>
          <w:rFonts w:ascii="Times New Roman" w:hAnsi="Times New Roman" w:cs="Times New Roman"/>
        </w:rPr>
        <w:t>vary by</w:t>
      </w:r>
      <w:r w:rsidR="00085042" w:rsidRPr="00085042">
        <w:rPr>
          <w:rFonts w:ascii="Times New Roman" w:hAnsi="Times New Roman" w:cs="Times New Roman"/>
        </w:rPr>
        <w:t xml:space="preserve"> geographic location. </w:t>
      </w:r>
      <w:r>
        <w:rPr>
          <w:rFonts w:ascii="Times New Roman" w:hAnsi="Times New Roman" w:cs="Times New Roman"/>
        </w:rPr>
        <w:t>N</w:t>
      </w:r>
      <w:r w:rsidR="00085042" w:rsidRPr="00085042">
        <w:rPr>
          <w:rFonts w:ascii="Times New Roman" w:hAnsi="Times New Roman" w:cs="Times New Roman"/>
        </w:rPr>
        <w:t xml:space="preserve">early all </w:t>
      </w:r>
      <w:r>
        <w:rPr>
          <w:rFonts w:ascii="Times New Roman" w:hAnsi="Times New Roman" w:cs="Times New Roman"/>
        </w:rPr>
        <w:t xml:space="preserve">charter </w:t>
      </w:r>
      <w:r w:rsidR="00085042" w:rsidRPr="00085042">
        <w:rPr>
          <w:rFonts w:ascii="Times New Roman" w:hAnsi="Times New Roman" w:cs="Times New Roman"/>
        </w:rPr>
        <w:t>students, regardless of location, language, income, or disability status, are likely to meet the state’s broader college readiness metric</w:t>
      </w:r>
      <w:r>
        <w:rPr>
          <w:rFonts w:ascii="Times New Roman" w:hAnsi="Times New Roman" w:cs="Times New Roman"/>
        </w:rPr>
        <w:t xml:space="preserve"> due to the </w:t>
      </w:r>
      <w:r w:rsidRPr="00085042">
        <w:rPr>
          <w:rFonts w:ascii="Times New Roman" w:hAnsi="Times New Roman" w:cs="Times New Roman"/>
        </w:rPr>
        <w:t>no excuses” model, which strongly emphasizes college preparation</w:t>
      </w:r>
      <w:r w:rsidR="00521FB2">
        <w:rPr>
          <w:rFonts w:ascii="Times New Roman" w:hAnsi="Times New Roman" w:cs="Times New Roman"/>
        </w:rPr>
        <w:t>.</w:t>
      </w:r>
    </w:p>
    <w:p w14:paraId="00249276" w14:textId="5C4ADB3D" w:rsidR="00085042" w:rsidRPr="00085042" w:rsidRDefault="00085042" w:rsidP="009C224E">
      <w:pPr>
        <w:spacing w:after="0" w:line="240" w:lineRule="auto"/>
        <w:rPr>
          <w:rFonts w:ascii="Times New Roman" w:hAnsi="Times New Roman" w:cs="Times New Roman"/>
        </w:rPr>
      </w:pPr>
      <w:r w:rsidRPr="00085042">
        <w:rPr>
          <w:rFonts w:ascii="Times New Roman" w:hAnsi="Times New Roman" w:cs="Times New Roman"/>
        </w:rPr>
        <w:t xml:space="preserve"> </w:t>
      </w:r>
      <w:r w:rsidR="00513887">
        <w:rPr>
          <w:rFonts w:ascii="Times New Roman" w:hAnsi="Times New Roman" w:cs="Times New Roman"/>
        </w:rPr>
        <w:tab/>
      </w:r>
      <w:r w:rsidR="009C224E">
        <w:rPr>
          <w:rFonts w:ascii="Times New Roman" w:hAnsi="Times New Roman" w:cs="Times New Roman"/>
        </w:rPr>
        <w:t>Although the</w:t>
      </w:r>
      <w:r w:rsidRPr="00085042">
        <w:rPr>
          <w:rFonts w:ascii="Times New Roman" w:hAnsi="Times New Roman" w:cs="Times New Roman"/>
        </w:rPr>
        <w:t xml:space="preserve"> charter's near-perfect proficiency on this metric </w:t>
      </w:r>
      <w:r w:rsidR="009C224E">
        <w:rPr>
          <w:rFonts w:ascii="Times New Roman" w:hAnsi="Times New Roman" w:cs="Times New Roman"/>
        </w:rPr>
        <w:t xml:space="preserve">contrasts with the percentage of students meeting the SAT/ACT </w:t>
      </w:r>
      <w:r w:rsidR="00521FB2">
        <w:rPr>
          <w:rFonts w:ascii="Times New Roman" w:hAnsi="Times New Roman" w:cs="Times New Roman"/>
        </w:rPr>
        <w:t xml:space="preserve">threshold. With an average of 16.4% of students meeting the threshold, questions arise about the effectiveness of the charter model, especially given enrollment shifts. It is </w:t>
      </w:r>
      <w:r w:rsidR="0084081A">
        <w:rPr>
          <w:rFonts w:ascii="Times New Roman" w:hAnsi="Times New Roman" w:cs="Times New Roman"/>
        </w:rPr>
        <w:t xml:space="preserve">recommended to disaggregate the state’s college-readiness metric, as students have multiple paths to meet this requirement, to identify the gap between the two metrics. It may also be beneficial to examine the rigor of charter school courses and assess how their curricula prepare students to succeed in an entry-level college class. Additionally, </w:t>
      </w:r>
      <w:r w:rsidRPr="00085042">
        <w:rPr>
          <w:rFonts w:ascii="Times New Roman" w:hAnsi="Times New Roman" w:cs="Times New Roman"/>
        </w:rPr>
        <w:t xml:space="preserve">the variability </w:t>
      </w:r>
      <w:r w:rsidR="003B4C2D">
        <w:rPr>
          <w:rFonts w:ascii="Times New Roman" w:hAnsi="Times New Roman" w:cs="Times New Roman"/>
        </w:rPr>
        <w:t>on</w:t>
      </w:r>
      <w:r w:rsidRPr="00085042">
        <w:rPr>
          <w:rFonts w:ascii="Times New Roman" w:hAnsi="Times New Roman" w:cs="Times New Roman"/>
        </w:rPr>
        <w:t xml:space="preserve"> SAT/ACT outcomes for EL and SWD across the treatment and comparison groups suggests a critical need to </w:t>
      </w:r>
      <w:r w:rsidR="0084081A">
        <w:rPr>
          <w:rFonts w:ascii="Times New Roman" w:hAnsi="Times New Roman" w:cs="Times New Roman"/>
        </w:rPr>
        <w:t>review</w:t>
      </w:r>
      <w:r w:rsidRPr="00085042">
        <w:rPr>
          <w:rFonts w:ascii="Times New Roman" w:hAnsi="Times New Roman" w:cs="Times New Roman"/>
        </w:rPr>
        <w:t xml:space="preserve"> how programming can be modified </w:t>
      </w:r>
      <w:r w:rsidR="00982A43">
        <w:rPr>
          <w:rFonts w:ascii="Times New Roman" w:hAnsi="Times New Roman" w:cs="Times New Roman"/>
        </w:rPr>
        <w:t>to support these students better</w:t>
      </w:r>
      <w:r w:rsidRPr="00085042">
        <w:rPr>
          <w:rFonts w:ascii="Times New Roman" w:hAnsi="Times New Roman" w:cs="Times New Roman"/>
        </w:rPr>
        <w:t>. </w:t>
      </w:r>
    </w:p>
    <w:p w14:paraId="29594BF7" w14:textId="1CCF3278" w:rsidR="00FE6E33" w:rsidRDefault="00085042" w:rsidP="0084081A">
      <w:pPr>
        <w:spacing w:after="0" w:line="240" w:lineRule="auto"/>
      </w:pPr>
      <w:r w:rsidRPr="00085042">
        <w:rPr>
          <w:rFonts w:ascii="Times New Roman" w:hAnsi="Times New Roman" w:cs="Times New Roman"/>
        </w:rPr>
        <w:tab/>
        <w:t>Despite these findings, th</w:t>
      </w:r>
      <w:r w:rsidR="00DF1A00">
        <w:rPr>
          <w:rFonts w:ascii="Times New Roman" w:hAnsi="Times New Roman" w:cs="Times New Roman"/>
        </w:rPr>
        <w:t>e</w:t>
      </w:r>
      <w:r w:rsidRPr="00085042">
        <w:rPr>
          <w:rFonts w:ascii="Times New Roman" w:hAnsi="Times New Roman" w:cs="Times New Roman"/>
        </w:rPr>
        <w:t xml:space="preserve"> study has a few limitations. The first limitation is that charter schools reported 100% SAT/ACT participation, compared to 89.7% in their matched public schools. The difference may affect comparability, given that participation rates can influence test-taker composition. Second, while each comparison group had to meet geographic proximity and demographic parity requirements, these matching constraints affected the composition of the comparison group. The application of these constraints </w:t>
      </w:r>
      <w:r w:rsidR="0084081A">
        <w:rPr>
          <w:rFonts w:ascii="Times New Roman" w:hAnsi="Times New Roman" w:cs="Times New Roman"/>
        </w:rPr>
        <w:t xml:space="preserve">led to charter schools being compared exclusively to schools within their </w:t>
      </w:r>
      <w:r w:rsidR="004231FB">
        <w:rPr>
          <w:rFonts w:ascii="Times New Roman" w:hAnsi="Times New Roman" w:cs="Times New Roman"/>
        </w:rPr>
        <w:t>school zones</w:t>
      </w:r>
      <w:r w:rsidR="00DF1A00">
        <w:rPr>
          <w:rFonts w:ascii="Times New Roman" w:hAnsi="Times New Roman" w:cs="Times New Roman"/>
        </w:rPr>
        <w:t xml:space="preserve">. </w:t>
      </w:r>
      <w:r w:rsidRPr="00085042">
        <w:rPr>
          <w:rFonts w:ascii="Times New Roman" w:hAnsi="Times New Roman" w:cs="Times New Roman"/>
        </w:rPr>
        <w:t>These schools are part of the traditional public school district</w:t>
      </w:r>
      <w:r w:rsidR="00DF1A00">
        <w:rPr>
          <w:rFonts w:ascii="Times New Roman" w:hAnsi="Times New Roman" w:cs="Times New Roman"/>
        </w:rPr>
        <w:t xml:space="preserve">. They </w:t>
      </w:r>
      <w:r w:rsidRPr="00085042">
        <w:rPr>
          <w:rFonts w:ascii="Times New Roman" w:hAnsi="Times New Roman" w:cs="Times New Roman"/>
        </w:rPr>
        <w:t xml:space="preserve">offer a particular program in career or technical education or fine </w:t>
      </w:r>
      <w:r w:rsidR="0084081A" w:rsidRPr="00085042">
        <w:rPr>
          <w:rFonts w:ascii="Times New Roman" w:hAnsi="Times New Roman" w:cs="Times New Roman"/>
        </w:rPr>
        <w:t>arts</w:t>
      </w:r>
      <w:r w:rsidR="0084081A">
        <w:rPr>
          <w:rFonts w:ascii="Times New Roman" w:hAnsi="Times New Roman" w:cs="Times New Roman"/>
        </w:rPr>
        <w:t xml:space="preserve"> and</w:t>
      </w:r>
      <w:r w:rsidRPr="00085042">
        <w:rPr>
          <w:rFonts w:ascii="Times New Roman" w:hAnsi="Times New Roman" w:cs="Times New Roman"/>
        </w:rPr>
        <w:t xml:space="preserve"> allow non-</w:t>
      </w:r>
      <w:proofErr w:type="gramStart"/>
      <w:r w:rsidRPr="00085042">
        <w:rPr>
          <w:rFonts w:ascii="Times New Roman" w:hAnsi="Times New Roman" w:cs="Times New Roman"/>
        </w:rPr>
        <w:t>zoned</w:t>
      </w:r>
      <w:proofErr w:type="gramEnd"/>
      <w:r w:rsidRPr="00085042">
        <w:rPr>
          <w:rFonts w:ascii="Times New Roman" w:hAnsi="Times New Roman" w:cs="Times New Roman"/>
        </w:rPr>
        <w:t xml:space="preserve"> students to attend</w:t>
      </w:r>
      <w:r w:rsidR="005E6942">
        <w:rPr>
          <w:rFonts w:ascii="Times New Roman" w:hAnsi="Times New Roman" w:cs="Times New Roman"/>
        </w:rPr>
        <w:t>. These features result</w:t>
      </w:r>
      <w:r w:rsidRPr="00085042">
        <w:rPr>
          <w:rFonts w:ascii="Times New Roman" w:hAnsi="Times New Roman" w:cs="Times New Roman"/>
        </w:rPr>
        <w:t xml:space="preserve"> in a student population that includes zoned and non-zoned students and can influence how students perceive the SAT/ACT and their post-secondary goals. Non-zoned students may be more focused on the school’s special program, ultimately mediating the college readiness metrics used in the study. Finally, although matching improves comparability, selection bias persists; the types of families and students who apply to these schools may differ, and evidence of these factors is not apparent in the collected data. Regardless of these limitations, future research may build on this study to expand on charter school effectiveness and its implications on equity</w:t>
      </w:r>
      <w:r w:rsidR="0084081A">
        <w:rPr>
          <w:rFonts w:ascii="Times New Roman" w:hAnsi="Times New Roman" w:cs="Times New Roman"/>
        </w:rPr>
        <w:t xml:space="preserve"> gaps in preparing students for college.</w:t>
      </w:r>
    </w:p>
    <w:p w14:paraId="33EE873E" w14:textId="4FE39451" w:rsidR="00FE6E33" w:rsidRDefault="00FE6E33"/>
    <w:p w14:paraId="51840CB2" w14:textId="77777777" w:rsidR="00231DF7" w:rsidRDefault="00231DF7"/>
    <w:p w14:paraId="4836DD0B" w14:textId="77777777" w:rsidR="00231DF7" w:rsidRDefault="00231DF7"/>
    <w:p w14:paraId="299A5FE0" w14:textId="77777777" w:rsidR="00A704A0" w:rsidRDefault="00A704A0"/>
    <w:p w14:paraId="62090734" w14:textId="77777777" w:rsidR="00A704A0" w:rsidRDefault="00A704A0"/>
    <w:p w14:paraId="5FDA183D" w14:textId="77777777" w:rsidR="00A704A0" w:rsidRDefault="00A704A0"/>
    <w:p w14:paraId="67EBBF0B" w14:textId="77777777" w:rsidR="00A704A0" w:rsidRDefault="00A704A0"/>
    <w:p w14:paraId="2A5F8B67" w14:textId="2196F2CF" w:rsidR="00231DF7" w:rsidRDefault="00231DF7"/>
    <w:p w14:paraId="75BFD99C" w14:textId="77777777" w:rsidR="003B4C2D" w:rsidRDefault="003B4C2D"/>
    <w:p w14:paraId="5BC66C71" w14:textId="77777777" w:rsidR="00231DF7" w:rsidRPr="00A77E6C" w:rsidRDefault="00231DF7" w:rsidP="00231DF7">
      <w:pPr>
        <w:widowControl w:val="0"/>
        <w:autoSpaceDE w:val="0"/>
        <w:autoSpaceDN w:val="0"/>
        <w:adjustRightInd w:val="0"/>
        <w:spacing w:after="0" w:line="480" w:lineRule="auto"/>
        <w:jc w:val="center"/>
        <w:rPr>
          <w:rFonts w:ascii="Times New Roman" w:hAnsi="Times New Roman" w:cs="Times New Roman"/>
          <w:b/>
          <w:bCs/>
          <w:kern w:val="0"/>
        </w:rPr>
      </w:pPr>
      <w:r w:rsidRPr="00A77E6C">
        <w:rPr>
          <w:rFonts w:ascii="Times New Roman" w:hAnsi="Times New Roman" w:cs="Times New Roman"/>
          <w:b/>
          <w:bCs/>
          <w:kern w:val="0"/>
        </w:rPr>
        <w:lastRenderedPageBreak/>
        <w:t>Works Cited</w:t>
      </w:r>
    </w:p>
    <w:p w14:paraId="663B23D5"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Adzima, Kerry A. “College Readiness: Are California Charter School Students Better Prepared?” </w:t>
      </w:r>
      <w:r>
        <w:rPr>
          <w:rFonts w:ascii="Times New Roman" w:hAnsi="Times New Roman" w:cs="Times New Roman"/>
          <w:i/>
          <w:iCs/>
          <w:kern w:val="0"/>
        </w:rPr>
        <w:t>Economic Affairs</w:t>
      </w:r>
      <w:r>
        <w:rPr>
          <w:rFonts w:ascii="Times New Roman" w:hAnsi="Times New Roman" w:cs="Times New Roman"/>
          <w:kern w:val="0"/>
        </w:rPr>
        <w:t xml:space="preserve">, vol. 37, no. 2, June 2017, pp. 182–196, </w:t>
      </w:r>
      <w:hyperlink r:id="rId6" w:history="1">
        <w:r>
          <w:rPr>
            <w:rFonts w:ascii="Times New Roman" w:hAnsi="Times New Roman" w:cs="Times New Roman"/>
            <w:kern w:val="0"/>
          </w:rPr>
          <w:t>https://doi.org/10.1111/ecaf.12229</w:t>
        </w:r>
      </w:hyperlink>
      <w:r>
        <w:rPr>
          <w:rFonts w:ascii="Times New Roman" w:hAnsi="Times New Roman" w:cs="Times New Roman"/>
          <w:kern w:val="0"/>
        </w:rPr>
        <w:t>.</w:t>
      </w:r>
    </w:p>
    <w:p w14:paraId="05DA9B18"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Angrist, Joshua D., et al. “Stand and Deliver: Effects of Boston’s Charter High Schools on College Preparation, Entry, and Choice.” </w:t>
      </w:r>
      <w:r>
        <w:rPr>
          <w:rFonts w:ascii="Times New Roman" w:hAnsi="Times New Roman" w:cs="Times New Roman"/>
          <w:i/>
          <w:iCs/>
          <w:kern w:val="0"/>
        </w:rPr>
        <w:t>Journal of Labor Economics</w:t>
      </w:r>
      <w:r>
        <w:rPr>
          <w:rFonts w:ascii="Times New Roman" w:hAnsi="Times New Roman" w:cs="Times New Roman"/>
          <w:kern w:val="0"/>
        </w:rPr>
        <w:t xml:space="preserve">, vol. 34, no. 2, Apr. 2016, pp. 275–318, </w:t>
      </w:r>
      <w:hyperlink r:id="rId7" w:history="1">
        <w:r>
          <w:rPr>
            <w:rFonts w:ascii="Times New Roman" w:hAnsi="Times New Roman" w:cs="Times New Roman"/>
            <w:kern w:val="0"/>
          </w:rPr>
          <w:t>https://doi.org/10.1086/683665</w:t>
        </w:r>
      </w:hyperlink>
      <w:r>
        <w:rPr>
          <w:rFonts w:ascii="Times New Roman" w:hAnsi="Times New Roman" w:cs="Times New Roman"/>
          <w:kern w:val="0"/>
        </w:rPr>
        <w:t>.</w:t>
      </w:r>
    </w:p>
    <w:p w14:paraId="2E7C8CBC"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Dobbie, Will, and Roland G. Fryer. “Charter Schools and Labor Market Outcomes.” </w:t>
      </w:r>
      <w:r>
        <w:rPr>
          <w:rFonts w:ascii="Times New Roman" w:hAnsi="Times New Roman" w:cs="Times New Roman"/>
          <w:i/>
          <w:iCs/>
          <w:kern w:val="0"/>
        </w:rPr>
        <w:t>Journal of Labor Economics</w:t>
      </w:r>
      <w:r>
        <w:rPr>
          <w:rFonts w:ascii="Times New Roman" w:hAnsi="Times New Roman" w:cs="Times New Roman"/>
          <w:kern w:val="0"/>
        </w:rPr>
        <w:t xml:space="preserve">, vol. 38, no. 4, 1 Oct. 2020, pp. 915–957, </w:t>
      </w:r>
      <w:hyperlink r:id="rId8" w:history="1">
        <w:r>
          <w:rPr>
            <w:rFonts w:ascii="Times New Roman" w:hAnsi="Times New Roman" w:cs="Times New Roman"/>
            <w:kern w:val="0"/>
          </w:rPr>
          <w:t>https://doi.org/10.1086/706534</w:t>
        </w:r>
      </w:hyperlink>
      <w:r>
        <w:rPr>
          <w:rFonts w:ascii="Times New Roman" w:hAnsi="Times New Roman" w:cs="Times New Roman"/>
          <w:kern w:val="0"/>
        </w:rPr>
        <w:t>.</w:t>
      </w:r>
    </w:p>
    <w:p w14:paraId="7B2FD7CB"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roofErr w:type="gramStart"/>
      <w:r>
        <w:rPr>
          <w:rFonts w:ascii="Times New Roman" w:hAnsi="Times New Roman" w:cs="Times New Roman"/>
          <w:i/>
          <w:iCs/>
          <w:kern w:val="0"/>
        </w:rPr>
        <w:t>Enrollment Brief</w:t>
      </w:r>
      <w:proofErr w:type="gramEnd"/>
      <w:r>
        <w:rPr>
          <w:rFonts w:ascii="Times New Roman" w:hAnsi="Times New Roman" w:cs="Times New Roman"/>
          <w:i/>
          <w:iCs/>
          <w:kern w:val="0"/>
        </w:rPr>
        <w:t>: Charter Schools 2025</w:t>
      </w:r>
      <w:r>
        <w:rPr>
          <w:rFonts w:ascii="Times New Roman" w:hAnsi="Times New Roman" w:cs="Times New Roman"/>
          <w:kern w:val="0"/>
        </w:rPr>
        <w:t>. National Alliance of Public Charter Schools, July 2025.</w:t>
      </w:r>
    </w:p>
    <w:p w14:paraId="75767C3B"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Harris, Stephaan. “Nation’s Report Card Shows Declines in 8th-Grade Science and 12th-Grade Math and Reading; Last in a Series of Post-Pandemic NAEP Data.” </w:t>
      </w:r>
      <w:r>
        <w:rPr>
          <w:rFonts w:ascii="Times New Roman" w:hAnsi="Times New Roman" w:cs="Times New Roman"/>
          <w:i/>
          <w:iCs/>
          <w:kern w:val="0"/>
        </w:rPr>
        <w:t>Nagb.gov</w:t>
      </w:r>
      <w:r>
        <w:rPr>
          <w:rFonts w:ascii="Times New Roman" w:hAnsi="Times New Roman" w:cs="Times New Roman"/>
          <w:kern w:val="0"/>
        </w:rPr>
        <w:t>, 9 Sept. 2025, www.nagb.gov/news-and-events/news-releases/2025/declines-in-8th-grade-science-and-12th-grade-math-and-reading.html.</w:t>
      </w:r>
    </w:p>
    <w:p w14:paraId="5D88DC71"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Luu, Justin, et al. “All Else Equal: Charter School Attendance and College Enrollment Rates at California’s Three Systems of Higher Education.” </w:t>
      </w:r>
      <w:r>
        <w:rPr>
          <w:rFonts w:ascii="Times New Roman" w:hAnsi="Times New Roman" w:cs="Times New Roman"/>
          <w:i/>
          <w:iCs/>
          <w:kern w:val="0"/>
        </w:rPr>
        <w:t>Journal of School Choice</w:t>
      </w:r>
      <w:r>
        <w:rPr>
          <w:rFonts w:ascii="Times New Roman" w:hAnsi="Times New Roman" w:cs="Times New Roman"/>
          <w:kern w:val="0"/>
        </w:rPr>
        <w:t xml:space="preserve">, vol. 19, no. 2, 30 Apr. 2025, pp. 1–21, </w:t>
      </w:r>
      <w:hyperlink r:id="rId9" w:history="1">
        <w:r>
          <w:rPr>
            <w:rFonts w:ascii="Times New Roman" w:hAnsi="Times New Roman" w:cs="Times New Roman"/>
            <w:kern w:val="0"/>
          </w:rPr>
          <w:t>https://doi.org/10.1080/15582159.2025.2492953</w:t>
        </w:r>
      </w:hyperlink>
      <w:r>
        <w:rPr>
          <w:rFonts w:ascii="Times New Roman" w:hAnsi="Times New Roman" w:cs="Times New Roman"/>
          <w:kern w:val="0"/>
        </w:rPr>
        <w:t>.</w:t>
      </w:r>
    </w:p>
    <w:p w14:paraId="667DC260"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Marini, Jessica, et al. </w:t>
      </w:r>
      <w:r>
        <w:rPr>
          <w:rFonts w:ascii="Times New Roman" w:hAnsi="Times New Roman" w:cs="Times New Roman"/>
          <w:i/>
          <w:iCs/>
          <w:kern w:val="0"/>
        </w:rPr>
        <w:t>SAT ® Score Relationships with College GPA: First-Year through Fourth-Year Cumulative GPA</w:t>
      </w:r>
      <w:r>
        <w:rPr>
          <w:rFonts w:ascii="Times New Roman" w:hAnsi="Times New Roman" w:cs="Times New Roman"/>
          <w:kern w:val="0"/>
        </w:rPr>
        <w:t>. 2024.</w:t>
      </w:r>
    </w:p>
    <w:p w14:paraId="0196C93A" w14:textId="44E3D383"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Mattern, Krista, et al. “Are AP Students More Likely to Graduate from College on Time? Research Report 2013-5.” </w:t>
      </w:r>
      <w:r>
        <w:rPr>
          <w:rFonts w:ascii="Times New Roman" w:hAnsi="Times New Roman" w:cs="Times New Roman"/>
          <w:i/>
          <w:iCs/>
          <w:kern w:val="0"/>
        </w:rPr>
        <w:t>College Board</w:t>
      </w:r>
      <w:r>
        <w:rPr>
          <w:rFonts w:ascii="Times New Roman" w:hAnsi="Times New Roman" w:cs="Times New Roman"/>
          <w:kern w:val="0"/>
        </w:rPr>
        <w:t xml:space="preserve">, College Board. http://research.collegeboard.org, 2013, </w:t>
      </w:r>
      <w:proofErr w:type="gramStart"/>
      <w:r>
        <w:rPr>
          <w:rFonts w:ascii="Times New Roman" w:hAnsi="Times New Roman" w:cs="Times New Roman"/>
          <w:kern w:val="0"/>
        </w:rPr>
        <w:t>eric.ed.gov/?</w:t>
      </w:r>
      <w:proofErr w:type="gramEnd"/>
      <w:r>
        <w:rPr>
          <w:rFonts w:ascii="Times New Roman" w:hAnsi="Times New Roman" w:cs="Times New Roman"/>
          <w:kern w:val="0"/>
        </w:rPr>
        <w:t>id=ED556464.</w:t>
      </w:r>
    </w:p>
    <w:p w14:paraId="10B25C36"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lastRenderedPageBreak/>
        <w:t xml:space="preserve">Reber, Sarah, et al. “The Effects of Charter High Schools on Academic Achievement and College Enrollment: Evidence from Los Angeles.” </w:t>
      </w:r>
      <w:r>
        <w:rPr>
          <w:rFonts w:ascii="Times New Roman" w:hAnsi="Times New Roman" w:cs="Times New Roman"/>
          <w:i/>
          <w:iCs/>
          <w:kern w:val="0"/>
        </w:rPr>
        <w:t>Education Finance and Policy</w:t>
      </w:r>
      <w:r>
        <w:rPr>
          <w:rFonts w:ascii="Times New Roman" w:hAnsi="Times New Roman" w:cs="Times New Roman"/>
          <w:kern w:val="0"/>
        </w:rPr>
        <w:t xml:space="preserve">, vol. 19, no. 4, 1 Oct. 2024, pp. 1–19, </w:t>
      </w:r>
      <w:hyperlink r:id="rId10" w:history="1">
        <w:r>
          <w:rPr>
            <w:rFonts w:ascii="Times New Roman" w:hAnsi="Times New Roman" w:cs="Times New Roman"/>
            <w:kern w:val="0"/>
          </w:rPr>
          <w:t>https://doi.org/10.1162/edfp_a_00411</w:t>
        </w:r>
      </w:hyperlink>
      <w:r>
        <w:rPr>
          <w:rFonts w:ascii="Times New Roman" w:hAnsi="Times New Roman" w:cs="Times New Roman"/>
          <w:kern w:val="0"/>
        </w:rPr>
        <w:t>.</w:t>
      </w:r>
    </w:p>
    <w:p w14:paraId="2588488E"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Texas Education Agency. (2024). </w:t>
      </w:r>
      <w:r>
        <w:rPr>
          <w:rFonts w:ascii="Times New Roman" w:hAnsi="Times New Roman" w:cs="Times New Roman"/>
          <w:i/>
          <w:iCs/>
          <w:kern w:val="0"/>
        </w:rPr>
        <w:t>Texas Academic Performance Reports</w:t>
      </w:r>
      <w:r>
        <w:rPr>
          <w:rFonts w:ascii="Times New Roman" w:hAnsi="Times New Roman" w:cs="Times New Roman"/>
          <w:kern w:val="0"/>
        </w:rPr>
        <w:t xml:space="preserve">. https://rptsvr1.tea.texas.gov/perfreport/tapr/2025/index.html </w:t>
      </w:r>
    </w:p>
    <w:p w14:paraId="785432C2"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Texas Education Agency. "Comprehensive Texas Performance Reporting System (TPRS) Glossary." 2025. https://rptsvr1.tea.texas.gov/perfreport/tapr/index.html </w:t>
      </w:r>
    </w:p>
    <w:p w14:paraId="7CA320D9"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66ADA027"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6834602D"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5111C7BA" w14:textId="77777777" w:rsidR="007E6337" w:rsidRDefault="007E633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48151596" w14:textId="77777777" w:rsidR="007E6337" w:rsidRDefault="007E633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0AE57F00" w14:textId="77777777" w:rsidR="007E6337" w:rsidRDefault="007E633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10A647F5" w14:textId="77777777" w:rsidR="007E6337" w:rsidRDefault="007E633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239E9521" w14:textId="77777777" w:rsidR="007E6337" w:rsidRDefault="007E633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46F98459" w14:textId="77777777" w:rsidR="007E6337" w:rsidRDefault="007E633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44722DE1" w14:textId="77777777" w:rsidR="007E6337" w:rsidRDefault="007E633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7FC58932" w14:textId="77777777" w:rsidR="007E6337" w:rsidRDefault="007E633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58426424" w14:textId="77777777" w:rsidR="007E6337" w:rsidRDefault="007E633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12972BEF" w14:textId="77777777" w:rsidR="007E6337" w:rsidRDefault="007E633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7835ED57" w14:textId="77777777" w:rsidR="007E6337" w:rsidRDefault="007E633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20BB856F" w14:textId="77777777" w:rsidR="00A704A0" w:rsidRDefault="00A704A0"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2F8A5063" w14:textId="77777777" w:rsidR="00A704A0" w:rsidRDefault="00A704A0"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53E2EC91" w14:textId="4A47EB6D" w:rsidR="007E6337" w:rsidRDefault="007E6337" w:rsidP="007E6337">
      <w:pPr>
        <w:widowControl w:val="0"/>
        <w:autoSpaceDE w:val="0"/>
        <w:autoSpaceDN w:val="0"/>
        <w:adjustRightInd w:val="0"/>
        <w:spacing w:after="0" w:line="480" w:lineRule="auto"/>
        <w:ind w:left="720" w:hanging="720"/>
        <w:jc w:val="center"/>
        <w:rPr>
          <w:rFonts w:ascii="Times New Roman" w:hAnsi="Times New Roman" w:cs="Times New Roman"/>
          <w:b/>
          <w:bCs/>
          <w:kern w:val="0"/>
        </w:rPr>
      </w:pPr>
      <w:r w:rsidRPr="007E6337">
        <w:rPr>
          <w:rFonts w:ascii="Times New Roman" w:hAnsi="Times New Roman" w:cs="Times New Roman"/>
          <w:b/>
          <w:bCs/>
          <w:kern w:val="0"/>
        </w:rPr>
        <w:lastRenderedPageBreak/>
        <w:t>AI Declaration</w:t>
      </w:r>
    </w:p>
    <w:p w14:paraId="142FFAC5" w14:textId="77777777" w:rsidR="00A704A0" w:rsidRDefault="007E6337" w:rsidP="00A704A0">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The AI platform</w:t>
      </w:r>
      <w:r w:rsidR="000F08F5">
        <w:rPr>
          <w:rFonts w:ascii="Times New Roman" w:hAnsi="Times New Roman" w:cs="Times New Roman"/>
          <w:kern w:val="0"/>
        </w:rPr>
        <w:t>, Gemini, helped me brainstorm a research study to</w:t>
      </w:r>
      <w:r>
        <w:rPr>
          <w:rFonts w:ascii="Times New Roman" w:hAnsi="Times New Roman" w:cs="Times New Roman"/>
          <w:kern w:val="0"/>
        </w:rPr>
        <w:t xml:space="preserve"> reduce </w:t>
      </w:r>
      <w:r w:rsidR="000F08F5">
        <w:rPr>
          <w:rFonts w:ascii="Times New Roman" w:hAnsi="Times New Roman" w:cs="Times New Roman"/>
          <w:kern w:val="0"/>
        </w:rPr>
        <w:t xml:space="preserve">selection </w:t>
      </w:r>
      <w:r>
        <w:rPr>
          <w:rFonts w:ascii="Times New Roman" w:hAnsi="Times New Roman" w:cs="Times New Roman"/>
          <w:kern w:val="0"/>
        </w:rPr>
        <w:t>bias</w:t>
      </w:r>
      <w:r w:rsidR="000F08F5">
        <w:rPr>
          <w:rFonts w:ascii="Times New Roman" w:hAnsi="Times New Roman" w:cs="Times New Roman"/>
          <w:kern w:val="0"/>
        </w:rPr>
        <w:t xml:space="preserve"> </w:t>
      </w:r>
      <w:r w:rsidR="00A704A0">
        <w:rPr>
          <w:rFonts w:ascii="Times New Roman" w:hAnsi="Times New Roman" w:cs="Times New Roman"/>
          <w:kern w:val="0"/>
        </w:rPr>
        <w:t>since</w:t>
      </w:r>
    </w:p>
    <w:p w14:paraId="61D60935" w14:textId="528D5617" w:rsidR="00A704A0" w:rsidRDefault="00982A43" w:rsidP="00A704A0">
      <w:pPr>
        <w:widowControl w:val="0"/>
        <w:autoSpaceDE w:val="0"/>
        <w:autoSpaceDN w:val="0"/>
        <w:adjustRightInd w:val="0"/>
        <w:spacing w:after="0" w:line="480" w:lineRule="auto"/>
        <w:ind w:left="720" w:hanging="720"/>
        <w:rPr>
          <w:rFonts w:ascii="Times New Roman" w:hAnsi="Times New Roman" w:cs="Times New Roman"/>
          <w:kern w:val="0"/>
        </w:rPr>
      </w:pPr>
      <w:proofErr w:type="gramStart"/>
      <w:r>
        <w:rPr>
          <w:rFonts w:ascii="Times New Roman" w:hAnsi="Times New Roman" w:cs="Times New Roman"/>
          <w:kern w:val="0"/>
        </w:rPr>
        <w:t>it</w:t>
      </w:r>
      <w:proofErr w:type="gramEnd"/>
      <w:r>
        <w:rPr>
          <w:rFonts w:ascii="Times New Roman" w:hAnsi="Times New Roman" w:cs="Times New Roman"/>
          <w:kern w:val="0"/>
        </w:rPr>
        <w:t xml:space="preserve"> is</w:t>
      </w:r>
      <w:r w:rsidR="000F08F5">
        <w:rPr>
          <w:rFonts w:ascii="Times New Roman" w:hAnsi="Times New Roman" w:cs="Times New Roman"/>
          <w:kern w:val="0"/>
        </w:rPr>
        <w:t xml:space="preserve"> one of the common confounding variables in charter school research</w:t>
      </w:r>
      <w:r w:rsidR="007E6337">
        <w:rPr>
          <w:rFonts w:ascii="Times New Roman" w:hAnsi="Times New Roman" w:cs="Times New Roman"/>
          <w:kern w:val="0"/>
        </w:rPr>
        <w:t xml:space="preserve">. The </w:t>
      </w:r>
      <w:r w:rsidR="000F08F5">
        <w:rPr>
          <w:rFonts w:ascii="Times New Roman" w:hAnsi="Times New Roman" w:cs="Times New Roman"/>
          <w:kern w:val="0"/>
        </w:rPr>
        <w:t xml:space="preserve">following </w:t>
      </w:r>
      <w:r w:rsidR="00212341">
        <w:rPr>
          <w:rFonts w:ascii="Times New Roman" w:hAnsi="Times New Roman" w:cs="Times New Roman"/>
          <w:kern w:val="0"/>
        </w:rPr>
        <w:t>promp</w:t>
      </w:r>
      <w:r w:rsidR="00A704A0">
        <w:rPr>
          <w:rFonts w:ascii="Times New Roman" w:hAnsi="Times New Roman" w:cs="Times New Roman"/>
          <w:kern w:val="0"/>
        </w:rPr>
        <w:t>t</w:t>
      </w:r>
    </w:p>
    <w:p w14:paraId="084BD183" w14:textId="31E60EE4" w:rsidR="000F08F5" w:rsidRDefault="000F08F5" w:rsidP="00A704A0">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was</w:t>
      </w:r>
      <w:r w:rsidR="00A704A0">
        <w:rPr>
          <w:rFonts w:ascii="Times New Roman" w:hAnsi="Times New Roman" w:cs="Times New Roman"/>
          <w:kern w:val="0"/>
        </w:rPr>
        <w:t xml:space="preserve"> </w:t>
      </w:r>
      <w:r>
        <w:rPr>
          <w:rFonts w:ascii="Times New Roman" w:hAnsi="Times New Roman" w:cs="Times New Roman"/>
          <w:kern w:val="0"/>
        </w:rPr>
        <w:t>used during this brainstorm.</w:t>
      </w:r>
    </w:p>
    <w:p w14:paraId="351EB7BF" w14:textId="77777777" w:rsidR="000F08F5" w:rsidRDefault="000F08F5" w:rsidP="000F08F5">
      <w:pPr>
        <w:widowControl w:val="0"/>
        <w:autoSpaceDE w:val="0"/>
        <w:autoSpaceDN w:val="0"/>
        <w:adjustRightInd w:val="0"/>
        <w:spacing w:after="0" w:line="480" w:lineRule="auto"/>
        <w:ind w:left="1440" w:hanging="720"/>
        <w:rPr>
          <w:rFonts w:ascii="Times New Roman" w:hAnsi="Times New Roman" w:cs="Times New Roman"/>
          <w:kern w:val="0"/>
        </w:rPr>
      </w:pPr>
      <w:r>
        <w:rPr>
          <w:rFonts w:ascii="Times New Roman" w:hAnsi="Times New Roman" w:cs="Times New Roman"/>
          <w:kern w:val="0"/>
        </w:rPr>
        <w:t>“</w:t>
      </w:r>
      <w:r w:rsidR="00212341" w:rsidRPr="00212341">
        <w:rPr>
          <w:rFonts w:ascii="Times New Roman" w:hAnsi="Times New Roman" w:cs="Times New Roman"/>
          <w:kern w:val="0"/>
        </w:rPr>
        <w:t>What are the methods of reducing bias when</w:t>
      </w:r>
      <w:r w:rsidR="00212341">
        <w:rPr>
          <w:rFonts w:ascii="Times New Roman" w:hAnsi="Times New Roman" w:cs="Times New Roman"/>
          <w:kern w:val="0"/>
        </w:rPr>
        <w:t xml:space="preserve"> </w:t>
      </w:r>
      <w:r w:rsidR="00212341" w:rsidRPr="00212341">
        <w:rPr>
          <w:rFonts w:ascii="Times New Roman" w:hAnsi="Times New Roman" w:cs="Times New Roman"/>
          <w:kern w:val="0"/>
        </w:rPr>
        <w:t>comparing college readiness outcome</w:t>
      </w:r>
      <w:r>
        <w:rPr>
          <w:rFonts w:ascii="Times New Roman" w:hAnsi="Times New Roman" w:cs="Times New Roman"/>
          <w:kern w:val="0"/>
        </w:rPr>
        <w:t>s</w:t>
      </w:r>
    </w:p>
    <w:p w14:paraId="4F6FCA70" w14:textId="77777777" w:rsidR="000F08F5" w:rsidRDefault="00212341" w:rsidP="000F08F5">
      <w:pPr>
        <w:widowControl w:val="0"/>
        <w:autoSpaceDE w:val="0"/>
        <w:autoSpaceDN w:val="0"/>
        <w:adjustRightInd w:val="0"/>
        <w:spacing w:after="0" w:line="480" w:lineRule="auto"/>
        <w:ind w:left="1440" w:hanging="720"/>
        <w:rPr>
          <w:rFonts w:ascii="Times New Roman" w:hAnsi="Times New Roman" w:cs="Times New Roman"/>
          <w:kern w:val="0"/>
        </w:rPr>
      </w:pPr>
      <w:r w:rsidRPr="00212341">
        <w:rPr>
          <w:rFonts w:ascii="Times New Roman" w:hAnsi="Times New Roman" w:cs="Times New Roman"/>
          <w:kern w:val="0"/>
        </w:rPr>
        <w:t>betwee</w:t>
      </w:r>
      <w:r w:rsidR="000F08F5">
        <w:rPr>
          <w:rFonts w:ascii="Times New Roman" w:hAnsi="Times New Roman" w:cs="Times New Roman"/>
          <w:kern w:val="0"/>
        </w:rPr>
        <w:t xml:space="preserve">n </w:t>
      </w:r>
      <w:r w:rsidRPr="00212341">
        <w:rPr>
          <w:rFonts w:ascii="Times New Roman" w:hAnsi="Times New Roman" w:cs="Times New Roman"/>
          <w:kern w:val="0"/>
        </w:rPr>
        <w:t>charter schools and traditional</w:t>
      </w:r>
      <w:r>
        <w:rPr>
          <w:rFonts w:ascii="Times New Roman" w:hAnsi="Times New Roman" w:cs="Times New Roman"/>
          <w:kern w:val="0"/>
        </w:rPr>
        <w:t xml:space="preserve"> </w:t>
      </w:r>
      <w:r w:rsidRPr="00212341">
        <w:rPr>
          <w:rFonts w:ascii="Times New Roman" w:hAnsi="Times New Roman" w:cs="Times New Roman"/>
          <w:kern w:val="0"/>
        </w:rPr>
        <w:t xml:space="preserve">public </w:t>
      </w:r>
      <w:r w:rsidR="000F08F5" w:rsidRPr="00212341">
        <w:rPr>
          <w:rFonts w:ascii="Times New Roman" w:hAnsi="Times New Roman" w:cs="Times New Roman"/>
          <w:kern w:val="0"/>
        </w:rPr>
        <w:t>schools.</w:t>
      </w:r>
      <w:r w:rsidRPr="00212341">
        <w:rPr>
          <w:rFonts w:ascii="Times New Roman" w:hAnsi="Times New Roman" w:cs="Times New Roman"/>
          <w:kern w:val="0"/>
        </w:rPr>
        <w:t xml:space="preserve"> The study will look at a smal</w:t>
      </w:r>
      <w:r w:rsidR="000F08F5">
        <w:rPr>
          <w:rFonts w:ascii="Times New Roman" w:hAnsi="Times New Roman" w:cs="Times New Roman"/>
          <w:kern w:val="0"/>
        </w:rPr>
        <w:t>l</w:t>
      </w:r>
    </w:p>
    <w:p w14:paraId="6D16C90C" w14:textId="77777777" w:rsidR="000F08F5" w:rsidRDefault="00212341" w:rsidP="000F08F5">
      <w:pPr>
        <w:widowControl w:val="0"/>
        <w:autoSpaceDE w:val="0"/>
        <w:autoSpaceDN w:val="0"/>
        <w:adjustRightInd w:val="0"/>
        <w:spacing w:after="0" w:line="480" w:lineRule="auto"/>
        <w:ind w:left="1440" w:hanging="720"/>
        <w:rPr>
          <w:rFonts w:ascii="Times New Roman" w:hAnsi="Times New Roman" w:cs="Times New Roman"/>
          <w:kern w:val="0"/>
        </w:rPr>
      </w:pPr>
      <w:r w:rsidRPr="00212341">
        <w:rPr>
          <w:rFonts w:ascii="Times New Roman" w:hAnsi="Times New Roman" w:cs="Times New Roman"/>
          <w:kern w:val="0"/>
        </w:rPr>
        <w:t>sample of 10 –1</w:t>
      </w:r>
      <w:r w:rsidR="000F08F5">
        <w:rPr>
          <w:rFonts w:ascii="Times New Roman" w:hAnsi="Times New Roman" w:cs="Times New Roman"/>
          <w:kern w:val="0"/>
        </w:rPr>
        <w:t xml:space="preserve">5 </w:t>
      </w:r>
      <w:r w:rsidRPr="00212341">
        <w:rPr>
          <w:rFonts w:ascii="Times New Roman" w:hAnsi="Times New Roman" w:cs="Times New Roman"/>
          <w:kern w:val="0"/>
        </w:rPr>
        <w:t>schools and will use Excel to compare their average college readines</w:t>
      </w:r>
      <w:r w:rsidR="000F08F5">
        <w:rPr>
          <w:rFonts w:ascii="Times New Roman" w:hAnsi="Times New Roman" w:cs="Times New Roman"/>
          <w:kern w:val="0"/>
        </w:rPr>
        <w:t>s</w:t>
      </w:r>
    </w:p>
    <w:p w14:paraId="2653D3DD" w14:textId="26357D5B" w:rsidR="000F08F5" w:rsidRDefault="00212341" w:rsidP="000F08F5">
      <w:pPr>
        <w:widowControl w:val="0"/>
        <w:autoSpaceDE w:val="0"/>
        <w:autoSpaceDN w:val="0"/>
        <w:adjustRightInd w:val="0"/>
        <w:spacing w:after="0" w:line="480" w:lineRule="auto"/>
        <w:ind w:left="1440" w:hanging="720"/>
        <w:rPr>
          <w:rFonts w:ascii="Times New Roman" w:hAnsi="Times New Roman" w:cs="Times New Roman"/>
          <w:kern w:val="0"/>
        </w:rPr>
      </w:pPr>
      <w:r w:rsidRPr="00212341">
        <w:rPr>
          <w:rFonts w:ascii="Times New Roman" w:hAnsi="Times New Roman" w:cs="Times New Roman"/>
          <w:kern w:val="0"/>
        </w:rPr>
        <w:t>outcomes</w:t>
      </w:r>
      <w:r>
        <w:rPr>
          <w:rFonts w:ascii="Times New Roman" w:hAnsi="Times New Roman" w:cs="Times New Roman"/>
          <w:kern w:val="0"/>
        </w:rPr>
        <w:t>.</w:t>
      </w:r>
      <w:r w:rsidR="000F08F5">
        <w:rPr>
          <w:rFonts w:ascii="Times New Roman" w:hAnsi="Times New Roman" w:cs="Times New Roman"/>
          <w:kern w:val="0"/>
        </w:rPr>
        <w:t>”</w:t>
      </w:r>
      <w:r>
        <w:rPr>
          <w:rFonts w:ascii="Times New Roman" w:hAnsi="Times New Roman" w:cs="Times New Roman"/>
          <w:kern w:val="0"/>
        </w:rPr>
        <w:t xml:space="preserve"> </w:t>
      </w:r>
    </w:p>
    <w:p w14:paraId="5CC2D80F" w14:textId="77777777" w:rsidR="000F08F5" w:rsidRDefault="00212341" w:rsidP="000F08F5">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The platform</w:t>
      </w:r>
      <w:r w:rsidR="000F08F5">
        <w:rPr>
          <w:rFonts w:ascii="Times New Roman" w:hAnsi="Times New Roman" w:cs="Times New Roman"/>
          <w:kern w:val="0"/>
        </w:rPr>
        <w:t xml:space="preserve"> </w:t>
      </w:r>
      <w:r>
        <w:rPr>
          <w:rFonts w:ascii="Times New Roman" w:hAnsi="Times New Roman" w:cs="Times New Roman"/>
          <w:kern w:val="0"/>
        </w:rPr>
        <w:t>suggested demographic matching, calculating value-added growth averages, an</w:t>
      </w:r>
      <w:r w:rsidR="000F08F5">
        <w:rPr>
          <w:rFonts w:ascii="Times New Roman" w:hAnsi="Times New Roman" w:cs="Times New Roman"/>
          <w:kern w:val="0"/>
        </w:rPr>
        <w:t>d</w:t>
      </w:r>
    </w:p>
    <w:p w14:paraId="0D1833CF" w14:textId="77777777" w:rsidR="000F08F5" w:rsidRDefault="00212341" w:rsidP="000F08F5">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using weighte</w:t>
      </w:r>
      <w:r w:rsidR="000F08F5">
        <w:rPr>
          <w:rFonts w:ascii="Times New Roman" w:hAnsi="Times New Roman" w:cs="Times New Roman"/>
          <w:kern w:val="0"/>
        </w:rPr>
        <w:t xml:space="preserve">d </w:t>
      </w:r>
      <w:r>
        <w:rPr>
          <w:rFonts w:ascii="Times New Roman" w:hAnsi="Times New Roman" w:cs="Times New Roman"/>
          <w:kern w:val="0"/>
        </w:rPr>
        <w:t xml:space="preserve">averages based on student enrollment. </w:t>
      </w:r>
      <w:r w:rsidR="000F08F5">
        <w:rPr>
          <w:rFonts w:ascii="Times New Roman" w:hAnsi="Times New Roman" w:cs="Times New Roman"/>
          <w:kern w:val="0"/>
        </w:rPr>
        <w:t xml:space="preserve">After reviewing each suggestion and </w:t>
      </w:r>
    </w:p>
    <w:p w14:paraId="2FE4D8DE" w14:textId="77777777" w:rsidR="000F08F5" w:rsidRDefault="000F08F5" w:rsidP="000F08F5">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examining other research designs during my literature review, I selected to apply the </w:t>
      </w:r>
    </w:p>
    <w:p w14:paraId="791754B2" w14:textId="45DF3F82" w:rsidR="00231DF7" w:rsidRDefault="000F08F5" w:rsidP="000F08F5">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kern w:val="0"/>
        </w:rPr>
        <w:t xml:space="preserve">demographic matching, given that my research question included student groups. </w:t>
      </w:r>
    </w:p>
    <w:p w14:paraId="54F020E8"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6930EC6F"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22E4263F"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6BE13D9E"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671E251C"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4FAB9817"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029308D0"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171E5B9D" w14:textId="77777777" w:rsidR="00A704A0" w:rsidRDefault="00A704A0"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04C85AF6"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2994270A"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461C8747" w14:textId="77777777" w:rsidR="00231DF7" w:rsidRDefault="00231DF7" w:rsidP="00231DF7">
      <w:pPr>
        <w:widowControl w:val="0"/>
        <w:autoSpaceDE w:val="0"/>
        <w:autoSpaceDN w:val="0"/>
        <w:adjustRightInd w:val="0"/>
        <w:spacing w:after="0" w:line="480" w:lineRule="auto"/>
        <w:ind w:left="720" w:hanging="720"/>
        <w:rPr>
          <w:rFonts w:ascii="Times New Roman" w:hAnsi="Times New Roman" w:cs="Times New Roman"/>
          <w:kern w:val="0"/>
        </w:rPr>
      </w:pPr>
    </w:p>
    <w:p w14:paraId="46D0638E" w14:textId="46E19FE8" w:rsidR="00231DF7" w:rsidRPr="00A77E6C" w:rsidRDefault="00231DF7" w:rsidP="00231DF7">
      <w:pPr>
        <w:widowControl w:val="0"/>
        <w:autoSpaceDE w:val="0"/>
        <w:autoSpaceDN w:val="0"/>
        <w:adjustRightInd w:val="0"/>
        <w:spacing w:after="0" w:line="480" w:lineRule="auto"/>
        <w:ind w:left="720" w:hanging="720"/>
        <w:jc w:val="center"/>
        <w:rPr>
          <w:rFonts w:ascii="Times New Roman" w:hAnsi="Times New Roman" w:cs="Times New Roman"/>
          <w:b/>
          <w:bCs/>
          <w:kern w:val="0"/>
        </w:rPr>
      </w:pPr>
      <w:r w:rsidRPr="00A77E6C">
        <w:rPr>
          <w:rFonts w:ascii="Times New Roman" w:hAnsi="Times New Roman" w:cs="Times New Roman"/>
          <w:b/>
          <w:bCs/>
          <w:kern w:val="0"/>
        </w:rPr>
        <w:lastRenderedPageBreak/>
        <w:t>Appendix A</w:t>
      </w:r>
    </w:p>
    <w:tbl>
      <w:tblPr>
        <w:tblW w:w="8836" w:type="dxa"/>
        <w:tblLook w:val="04A0" w:firstRow="1" w:lastRow="0" w:firstColumn="1" w:lastColumn="0" w:noHBand="0" w:noVBand="1"/>
      </w:tblPr>
      <w:tblGrid>
        <w:gridCol w:w="1302"/>
        <w:gridCol w:w="934"/>
        <w:gridCol w:w="2155"/>
        <w:gridCol w:w="785"/>
        <w:gridCol w:w="785"/>
        <w:gridCol w:w="1493"/>
        <w:gridCol w:w="1382"/>
      </w:tblGrid>
      <w:tr w:rsidR="00DA1D1B" w:rsidRPr="00DA1D1B" w14:paraId="06A0EAC1" w14:textId="77777777" w:rsidTr="00DA1D1B">
        <w:trPr>
          <w:trHeight w:val="300"/>
        </w:trPr>
        <w:tc>
          <w:tcPr>
            <w:tcW w:w="8836" w:type="dxa"/>
            <w:gridSpan w:val="7"/>
            <w:tcBorders>
              <w:top w:val="nil"/>
              <w:left w:val="nil"/>
              <w:bottom w:val="single" w:sz="8" w:space="0" w:color="auto"/>
              <w:right w:val="nil"/>
            </w:tcBorders>
            <w:noWrap/>
            <w:vAlign w:val="bottom"/>
            <w:hideMark/>
          </w:tcPr>
          <w:p w14:paraId="4F2CD980" w14:textId="77777777" w:rsidR="00DA1D1B" w:rsidRPr="00DA1D1B" w:rsidRDefault="00DA1D1B" w:rsidP="00DA1D1B">
            <w:pPr>
              <w:spacing w:after="0" w:line="240" w:lineRule="auto"/>
              <w:rPr>
                <w:rFonts w:ascii="Times New Roman" w:eastAsia="Times New Roman" w:hAnsi="Times New Roman" w:cs="Times New Roman"/>
                <w:b/>
                <w:bCs/>
                <w:color w:val="000000"/>
                <w:kern w:val="0"/>
                <w:sz w:val="22"/>
                <w:szCs w:val="22"/>
                <w14:ligatures w14:val="none"/>
              </w:rPr>
            </w:pPr>
            <w:r w:rsidRPr="00DA1D1B">
              <w:rPr>
                <w:rFonts w:ascii="Times New Roman" w:eastAsia="Times New Roman" w:hAnsi="Times New Roman" w:cs="Times New Roman"/>
                <w:b/>
                <w:bCs/>
                <w:color w:val="000000"/>
                <w:kern w:val="0"/>
                <w:sz w:val="22"/>
                <w:szCs w:val="22"/>
                <w14:ligatures w14:val="none"/>
              </w:rPr>
              <w:t>Table 1: Matched Pairs</w:t>
            </w:r>
          </w:p>
        </w:tc>
      </w:tr>
      <w:tr w:rsidR="00DA1D1B" w:rsidRPr="00DA1D1B" w14:paraId="5FC3AE5B" w14:textId="77777777" w:rsidTr="00DA1D1B">
        <w:trPr>
          <w:trHeight w:val="588"/>
        </w:trPr>
        <w:tc>
          <w:tcPr>
            <w:tcW w:w="1302" w:type="dxa"/>
            <w:tcBorders>
              <w:top w:val="nil"/>
              <w:left w:val="nil"/>
              <w:bottom w:val="single" w:sz="8" w:space="0" w:color="auto"/>
              <w:right w:val="nil"/>
            </w:tcBorders>
            <w:noWrap/>
            <w:vAlign w:val="bottom"/>
            <w:hideMark/>
          </w:tcPr>
          <w:p w14:paraId="665AAD20" w14:textId="77777777" w:rsidR="00DA1D1B" w:rsidRPr="00DA1D1B" w:rsidRDefault="00DA1D1B" w:rsidP="00DA1D1B">
            <w:pPr>
              <w:spacing w:after="0" w:line="240" w:lineRule="auto"/>
              <w:jc w:val="center"/>
              <w:rPr>
                <w:rFonts w:ascii="Times New Roman" w:eastAsia="Times New Roman" w:hAnsi="Times New Roman" w:cs="Times New Roman"/>
                <w:b/>
                <w:bCs/>
                <w:color w:val="000000"/>
                <w:kern w:val="0"/>
                <w:sz w:val="22"/>
                <w:szCs w:val="22"/>
                <w14:ligatures w14:val="none"/>
              </w:rPr>
            </w:pPr>
            <w:r w:rsidRPr="00DA1D1B">
              <w:rPr>
                <w:rFonts w:ascii="Times New Roman" w:eastAsia="Times New Roman" w:hAnsi="Times New Roman" w:cs="Times New Roman"/>
                <w:b/>
                <w:bCs/>
                <w:color w:val="000000"/>
                <w:kern w:val="0"/>
                <w:sz w:val="22"/>
                <w:szCs w:val="22"/>
                <w14:ligatures w14:val="none"/>
              </w:rPr>
              <w:t>Pair</w:t>
            </w:r>
          </w:p>
        </w:tc>
        <w:tc>
          <w:tcPr>
            <w:tcW w:w="934" w:type="dxa"/>
            <w:tcBorders>
              <w:top w:val="nil"/>
              <w:left w:val="nil"/>
              <w:bottom w:val="single" w:sz="8" w:space="0" w:color="auto"/>
              <w:right w:val="nil"/>
            </w:tcBorders>
            <w:noWrap/>
            <w:vAlign w:val="bottom"/>
            <w:hideMark/>
          </w:tcPr>
          <w:p w14:paraId="3FB09B9D" w14:textId="77777777" w:rsidR="00DA1D1B" w:rsidRPr="00DA1D1B" w:rsidRDefault="00DA1D1B" w:rsidP="00DA1D1B">
            <w:pPr>
              <w:spacing w:after="0" w:line="240" w:lineRule="auto"/>
              <w:jc w:val="center"/>
              <w:rPr>
                <w:rFonts w:ascii="Times New Roman" w:eastAsia="Times New Roman" w:hAnsi="Times New Roman" w:cs="Times New Roman"/>
                <w:b/>
                <w:bCs/>
                <w:color w:val="000000"/>
                <w:kern w:val="0"/>
                <w:sz w:val="22"/>
                <w:szCs w:val="22"/>
                <w14:ligatures w14:val="none"/>
              </w:rPr>
            </w:pPr>
            <w:r w:rsidRPr="00DA1D1B">
              <w:rPr>
                <w:rFonts w:ascii="Times New Roman" w:eastAsia="Times New Roman" w:hAnsi="Times New Roman" w:cs="Times New Roman"/>
                <w:b/>
                <w:bCs/>
                <w:color w:val="000000"/>
                <w:kern w:val="0"/>
                <w:sz w:val="22"/>
                <w:szCs w:val="22"/>
                <w14:ligatures w14:val="none"/>
              </w:rPr>
              <w:t>Model</w:t>
            </w:r>
          </w:p>
        </w:tc>
        <w:tc>
          <w:tcPr>
            <w:tcW w:w="2155" w:type="dxa"/>
            <w:tcBorders>
              <w:top w:val="nil"/>
              <w:left w:val="nil"/>
              <w:bottom w:val="single" w:sz="8" w:space="0" w:color="auto"/>
              <w:right w:val="nil"/>
            </w:tcBorders>
            <w:vAlign w:val="bottom"/>
            <w:hideMark/>
          </w:tcPr>
          <w:p w14:paraId="754E9A97" w14:textId="77777777" w:rsidR="00DA1D1B" w:rsidRPr="00DA1D1B" w:rsidRDefault="00DA1D1B" w:rsidP="00DA1D1B">
            <w:pPr>
              <w:spacing w:after="0" w:line="240" w:lineRule="auto"/>
              <w:jc w:val="center"/>
              <w:rPr>
                <w:rFonts w:ascii="Times New Roman" w:eastAsia="Times New Roman" w:hAnsi="Times New Roman" w:cs="Times New Roman"/>
                <w:b/>
                <w:bCs/>
                <w:color w:val="000000"/>
                <w:kern w:val="0"/>
                <w:sz w:val="22"/>
                <w:szCs w:val="22"/>
                <w14:ligatures w14:val="none"/>
              </w:rPr>
            </w:pPr>
            <w:r w:rsidRPr="00DA1D1B">
              <w:rPr>
                <w:rFonts w:ascii="Times New Roman" w:eastAsia="Times New Roman" w:hAnsi="Times New Roman" w:cs="Times New Roman"/>
                <w:b/>
                <w:bCs/>
                <w:color w:val="000000"/>
                <w:kern w:val="0"/>
                <w:sz w:val="22"/>
                <w:szCs w:val="22"/>
                <w14:ligatures w14:val="none"/>
              </w:rPr>
              <w:t xml:space="preserve">Economically Disadvantaged </w:t>
            </w:r>
          </w:p>
        </w:tc>
        <w:tc>
          <w:tcPr>
            <w:tcW w:w="785" w:type="dxa"/>
            <w:tcBorders>
              <w:top w:val="nil"/>
              <w:left w:val="nil"/>
              <w:bottom w:val="single" w:sz="8" w:space="0" w:color="auto"/>
              <w:right w:val="nil"/>
            </w:tcBorders>
            <w:noWrap/>
            <w:vAlign w:val="bottom"/>
            <w:hideMark/>
          </w:tcPr>
          <w:p w14:paraId="638D9AC6" w14:textId="77777777" w:rsidR="00DA1D1B" w:rsidRPr="00DA1D1B" w:rsidRDefault="00DA1D1B" w:rsidP="00DA1D1B">
            <w:pPr>
              <w:spacing w:after="0" w:line="240" w:lineRule="auto"/>
              <w:jc w:val="center"/>
              <w:rPr>
                <w:rFonts w:ascii="Times New Roman" w:eastAsia="Times New Roman" w:hAnsi="Times New Roman" w:cs="Times New Roman"/>
                <w:b/>
                <w:bCs/>
                <w:color w:val="000000"/>
                <w:kern w:val="0"/>
                <w:sz w:val="22"/>
                <w:szCs w:val="22"/>
                <w14:ligatures w14:val="none"/>
              </w:rPr>
            </w:pPr>
            <w:r w:rsidRPr="00DA1D1B">
              <w:rPr>
                <w:rFonts w:ascii="Times New Roman" w:eastAsia="Times New Roman" w:hAnsi="Times New Roman" w:cs="Times New Roman"/>
                <w:b/>
                <w:bCs/>
                <w:color w:val="000000"/>
                <w:kern w:val="0"/>
                <w:sz w:val="22"/>
                <w:szCs w:val="22"/>
                <w14:ligatures w14:val="none"/>
              </w:rPr>
              <w:t>EL</w:t>
            </w:r>
          </w:p>
        </w:tc>
        <w:tc>
          <w:tcPr>
            <w:tcW w:w="785" w:type="dxa"/>
            <w:tcBorders>
              <w:top w:val="nil"/>
              <w:left w:val="nil"/>
              <w:bottom w:val="single" w:sz="8" w:space="0" w:color="auto"/>
              <w:right w:val="nil"/>
            </w:tcBorders>
            <w:noWrap/>
            <w:vAlign w:val="bottom"/>
            <w:hideMark/>
          </w:tcPr>
          <w:p w14:paraId="4A778AF3" w14:textId="77777777" w:rsidR="00DA1D1B" w:rsidRPr="00DA1D1B" w:rsidRDefault="00DA1D1B" w:rsidP="00DA1D1B">
            <w:pPr>
              <w:spacing w:after="0" w:line="240" w:lineRule="auto"/>
              <w:jc w:val="center"/>
              <w:rPr>
                <w:rFonts w:ascii="Times New Roman" w:eastAsia="Times New Roman" w:hAnsi="Times New Roman" w:cs="Times New Roman"/>
                <w:b/>
                <w:bCs/>
                <w:color w:val="000000"/>
                <w:kern w:val="0"/>
                <w:sz w:val="22"/>
                <w:szCs w:val="22"/>
                <w14:ligatures w14:val="none"/>
              </w:rPr>
            </w:pPr>
            <w:r w:rsidRPr="00DA1D1B">
              <w:rPr>
                <w:rFonts w:ascii="Times New Roman" w:eastAsia="Times New Roman" w:hAnsi="Times New Roman" w:cs="Times New Roman"/>
                <w:b/>
                <w:bCs/>
                <w:color w:val="000000"/>
                <w:kern w:val="0"/>
                <w:sz w:val="22"/>
                <w:szCs w:val="22"/>
                <w14:ligatures w14:val="none"/>
              </w:rPr>
              <w:t>SWD</w:t>
            </w:r>
          </w:p>
        </w:tc>
        <w:tc>
          <w:tcPr>
            <w:tcW w:w="1493" w:type="dxa"/>
            <w:tcBorders>
              <w:top w:val="nil"/>
              <w:left w:val="nil"/>
              <w:bottom w:val="single" w:sz="8" w:space="0" w:color="auto"/>
              <w:right w:val="nil"/>
            </w:tcBorders>
            <w:vAlign w:val="bottom"/>
            <w:hideMark/>
          </w:tcPr>
          <w:p w14:paraId="671A7121" w14:textId="77777777" w:rsidR="00DA1D1B" w:rsidRPr="00DA1D1B" w:rsidRDefault="00DA1D1B" w:rsidP="00DA1D1B">
            <w:pPr>
              <w:spacing w:after="0" w:line="240" w:lineRule="auto"/>
              <w:jc w:val="center"/>
              <w:rPr>
                <w:rFonts w:ascii="Times New Roman" w:eastAsia="Times New Roman" w:hAnsi="Times New Roman" w:cs="Times New Roman"/>
                <w:b/>
                <w:bCs/>
                <w:color w:val="000000"/>
                <w:kern w:val="0"/>
                <w:sz w:val="22"/>
                <w:szCs w:val="22"/>
                <w14:ligatures w14:val="none"/>
              </w:rPr>
            </w:pPr>
            <w:r w:rsidRPr="00DA1D1B">
              <w:rPr>
                <w:rFonts w:ascii="Times New Roman" w:eastAsia="Times New Roman" w:hAnsi="Times New Roman" w:cs="Times New Roman"/>
                <w:b/>
                <w:bCs/>
                <w:color w:val="000000"/>
                <w:kern w:val="0"/>
                <w:sz w:val="22"/>
                <w:szCs w:val="22"/>
                <w14:ligatures w14:val="none"/>
              </w:rPr>
              <w:t>Population Difference</w:t>
            </w:r>
          </w:p>
        </w:tc>
        <w:tc>
          <w:tcPr>
            <w:tcW w:w="1382" w:type="dxa"/>
            <w:tcBorders>
              <w:top w:val="nil"/>
              <w:left w:val="nil"/>
              <w:bottom w:val="single" w:sz="8" w:space="0" w:color="auto"/>
              <w:right w:val="nil"/>
            </w:tcBorders>
            <w:vAlign w:val="center"/>
            <w:hideMark/>
          </w:tcPr>
          <w:p w14:paraId="7C72EB8E" w14:textId="77777777" w:rsidR="00DA1D1B" w:rsidRPr="00DA1D1B" w:rsidRDefault="00DA1D1B" w:rsidP="00DA1D1B">
            <w:pPr>
              <w:spacing w:after="0" w:line="240" w:lineRule="auto"/>
              <w:jc w:val="center"/>
              <w:rPr>
                <w:rFonts w:ascii="Times New Roman" w:eastAsia="Times New Roman" w:hAnsi="Times New Roman" w:cs="Times New Roman"/>
                <w:b/>
                <w:bCs/>
                <w:color w:val="000000"/>
                <w:kern w:val="0"/>
                <w:sz w:val="22"/>
                <w:szCs w:val="22"/>
                <w14:ligatures w14:val="none"/>
              </w:rPr>
            </w:pPr>
            <w:r w:rsidRPr="00DA1D1B">
              <w:rPr>
                <w:rFonts w:ascii="Times New Roman" w:eastAsia="Times New Roman" w:hAnsi="Times New Roman" w:cs="Times New Roman"/>
                <w:b/>
                <w:bCs/>
                <w:color w:val="000000"/>
                <w:kern w:val="0"/>
                <w:sz w:val="22"/>
                <w:szCs w:val="22"/>
                <w14:ligatures w14:val="none"/>
              </w:rPr>
              <w:t xml:space="preserve">Distance Apart </w:t>
            </w:r>
          </w:p>
        </w:tc>
      </w:tr>
      <w:tr w:rsidR="00DA1D1B" w:rsidRPr="00DA1D1B" w14:paraId="5C7E48DB" w14:textId="77777777" w:rsidTr="00DA1D1B">
        <w:trPr>
          <w:trHeight w:val="288"/>
        </w:trPr>
        <w:tc>
          <w:tcPr>
            <w:tcW w:w="1302" w:type="dxa"/>
            <w:vMerge w:val="restart"/>
            <w:tcBorders>
              <w:top w:val="nil"/>
              <w:left w:val="nil"/>
              <w:bottom w:val="single" w:sz="8" w:space="0" w:color="000000"/>
              <w:right w:val="nil"/>
            </w:tcBorders>
            <w:noWrap/>
            <w:vAlign w:val="center"/>
            <w:hideMark/>
          </w:tcPr>
          <w:p w14:paraId="7104B7FD"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Northeast</w:t>
            </w:r>
          </w:p>
        </w:tc>
        <w:tc>
          <w:tcPr>
            <w:tcW w:w="934" w:type="dxa"/>
            <w:tcBorders>
              <w:top w:val="nil"/>
              <w:left w:val="nil"/>
              <w:bottom w:val="nil"/>
              <w:right w:val="nil"/>
            </w:tcBorders>
            <w:noWrap/>
            <w:vAlign w:val="bottom"/>
            <w:hideMark/>
          </w:tcPr>
          <w:p w14:paraId="5D136A6E"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Charter</w:t>
            </w:r>
          </w:p>
        </w:tc>
        <w:tc>
          <w:tcPr>
            <w:tcW w:w="2155" w:type="dxa"/>
            <w:tcBorders>
              <w:top w:val="nil"/>
              <w:left w:val="nil"/>
              <w:bottom w:val="nil"/>
              <w:right w:val="nil"/>
            </w:tcBorders>
            <w:noWrap/>
            <w:vAlign w:val="bottom"/>
            <w:hideMark/>
          </w:tcPr>
          <w:p w14:paraId="4CE6F22D"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94.1%</w:t>
            </w:r>
          </w:p>
        </w:tc>
        <w:tc>
          <w:tcPr>
            <w:tcW w:w="785" w:type="dxa"/>
            <w:tcBorders>
              <w:top w:val="nil"/>
              <w:left w:val="nil"/>
              <w:bottom w:val="nil"/>
              <w:right w:val="nil"/>
            </w:tcBorders>
            <w:noWrap/>
            <w:vAlign w:val="bottom"/>
            <w:hideMark/>
          </w:tcPr>
          <w:p w14:paraId="52E5779F"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37.6%</w:t>
            </w:r>
          </w:p>
        </w:tc>
        <w:tc>
          <w:tcPr>
            <w:tcW w:w="785" w:type="dxa"/>
            <w:tcBorders>
              <w:top w:val="nil"/>
              <w:left w:val="nil"/>
              <w:bottom w:val="nil"/>
              <w:right w:val="nil"/>
            </w:tcBorders>
            <w:noWrap/>
            <w:vAlign w:val="bottom"/>
            <w:hideMark/>
          </w:tcPr>
          <w:p w14:paraId="482AEF58"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6.8%</w:t>
            </w:r>
          </w:p>
        </w:tc>
        <w:tc>
          <w:tcPr>
            <w:tcW w:w="1493" w:type="dxa"/>
            <w:tcBorders>
              <w:top w:val="nil"/>
              <w:left w:val="nil"/>
              <w:bottom w:val="nil"/>
              <w:right w:val="nil"/>
            </w:tcBorders>
            <w:noWrap/>
            <w:vAlign w:val="bottom"/>
            <w:hideMark/>
          </w:tcPr>
          <w:p w14:paraId="322CE1FB"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w:t>
            </w:r>
          </w:p>
        </w:tc>
        <w:tc>
          <w:tcPr>
            <w:tcW w:w="1382" w:type="dxa"/>
            <w:vMerge w:val="restart"/>
            <w:tcBorders>
              <w:top w:val="nil"/>
              <w:left w:val="nil"/>
              <w:bottom w:val="single" w:sz="8" w:space="0" w:color="000000"/>
              <w:right w:val="nil"/>
            </w:tcBorders>
            <w:noWrap/>
            <w:vAlign w:val="center"/>
            <w:hideMark/>
          </w:tcPr>
          <w:p w14:paraId="7EE619F2"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6.5 mi</w:t>
            </w:r>
          </w:p>
        </w:tc>
      </w:tr>
      <w:tr w:rsidR="00DA1D1B" w:rsidRPr="00DA1D1B" w14:paraId="524D4CD3" w14:textId="77777777" w:rsidTr="00DA1D1B">
        <w:trPr>
          <w:trHeight w:val="300"/>
        </w:trPr>
        <w:tc>
          <w:tcPr>
            <w:tcW w:w="1302" w:type="dxa"/>
            <w:vMerge/>
            <w:tcBorders>
              <w:top w:val="nil"/>
              <w:left w:val="nil"/>
              <w:bottom w:val="single" w:sz="8" w:space="0" w:color="000000"/>
              <w:right w:val="nil"/>
            </w:tcBorders>
            <w:vAlign w:val="center"/>
            <w:hideMark/>
          </w:tcPr>
          <w:p w14:paraId="73BDE1C8" w14:textId="77777777" w:rsidR="00DA1D1B" w:rsidRPr="00DA1D1B" w:rsidRDefault="00DA1D1B" w:rsidP="00DA1D1B">
            <w:pPr>
              <w:spacing w:after="0" w:line="240" w:lineRule="auto"/>
              <w:rPr>
                <w:rFonts w:ascii="Times New Roman" w:eastAsia="Times New Roman" w:hAnsi="Times New Roman" w:cs="Times New Roman"/>
                <w:color w:val="000000"/>
                <w:kern w:val="0"/>
                <w:sz w:val="22"/>
                <w:szCs w:val="22"/>
                <w14:ligatures w14:val="none"/>
              </w:rPr>
            </w:pPr>
          </w:p>
        </w:tc>
        <w:tc>
          <w:tcPr>
            <w:tcW w:w="934" w:type="dxa"/>
            <w:tcBorders>
              <w:top w:val="nil"/>
              <w:left w:val="nil"/>
              <w:bottom w:val="single" w:sz="8" w:space="0" w:color="auto"/>
              <w:right w:val="nil"/>
            </w:tcBorders>
            <w:noWrap/>
            <w:vAlign w:val="bottom"/>
            <w:hideMark/>
          </w:tcPr>
          <w:p w14:paraId="568BA8E5"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TPS</w:t>
            </w:r>
          </w:p>
        </w:tc>
        <w:tc>
          <w:tcPr>
            <w:tcW w:w="2155" w:type="dxa"/>
            <w:tcBorders>
              <w:top w:val="nil"/>
              <w:left w:val="nil"/>
              <w:bottom w:val="single" w:sz="8" w:space="0" w:color="auto"/>
              <w:right w:val="nil"/>
            </w:tcBorders>
            <w:noWrap/>
            <w:vAlign w:val="bottom"/>
            <w:hideMark/>
          </w:tcPr>
          <w:p w14:paraId="46DB411E"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94.5%</w:t>
            </w:r>
          </w:p>
        </w:tc>
        <w:tc>
          <w:tcPr>
            <w:tcW w:w="785" w:type="dxa"/>
            <w:tcBorders>
              <w:top w:val="nil"/>
              <w:left w:val="nil"/>
              <w:bottom w:val="single" w:sz="8" w:space="0" w:color="auto"/>
              <w:right w:val="nil"/>
            </w:tcBorders>
            <w:noWrap/>
            <w:vAlign w:val="bottom"/>
            <w:hideMark/>
          </w:tcPr>
          <w:p w14:paraId="645DF343"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39.9%</w:t>
            </w:r>
          </w:p>
        </w:tc>
        <w:tc>
          <w:tcPr>
            <w:tcW w:w="785" w:type="dxa"/>
            <w:tcBorders>
              <w:top w:val="nil"/>
              <w:left w:val="nil"/>
              <w:bottom w:val="single" w:sz="8" w:space="0" w:color="auto"/>
              <w:right w:val="nil"/>
            </w:tcBorders>
            <w:noWrap/>
            <w:vAlign w:val="bottom"/>
            <w:hideMark/>
          </w:tcPr>
          <w:p w14:paraId="034A499B"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10.9%</w:t>
            </w:r>
          </w:p>
        </w:tc>
        <w:tc>
          <w:tcPr>
            <w:tcW w:w="1493" w:type="dxa"/>
            <w:tcBorders>
              <w:top w:val="nil"/>
              <w:left w:val="nil"/>
              <w:bottom w:val="single" w:sz="8" w:space="0" w:color="auto"/>
              <w:right w:val="nil"/>
            </w:tcBorders>
            <w:noWrap/>
            <w:vAlign w:val="bottom"/>
            <w:hideMark/>
          </w:tcPr>
          <w:p w14:paraId="53F660E0"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w:t>
            </w:r>
          </w:p>
        </w:tc>
        <w:tc>
          <w:tcPr>
            <w:tcW w:w="1382" w:type="dxa"/>
            <w:vMerge/>
            <w:tcBorders>
              <w:top w:val="nil"/>
              <w:left w:val="nil"/>
              <w:bottom w:val="single" w:sz="8" w:space="0" w:color="000000"/>
              <w:right w:val="nil"/>
            </w:tcBorders>
            <w:vAlign w:val="center"/>
            <w:hideMark/>
          </w:tcPr>
          <w:p w14:paraId="2DEF599B" w14:textId="77777777" w:rsidR="00DA1D1B" w:rsidRPr="00DA1D1B" w:rsidRDefault="00DA1D1B" w:rsidP="00DA1D1B">
            <w:pPr>
              <w:spacing w:after="0" w:line="240" w:lineRule="auto"/>
              <w:rPr>
                <w:rFonts w:ascii="Times New Roman" w:eastAsia="Times New Roman" w:hAnsi="Times New Roman" w:cs="Times New Roman"/>
                <w:color w:val="000000"/>
                <w:kern w:val="0"/>
                <w:sz w:val="22"/>
                <w:szCs w:val="22"/>
                <w14:ligatures w14:val="none"/>
              </w:rPr>
            </w:pPr>
          </w:p>
        </w:tc>
      </w:tr>
      <w:tr w:rsidR="00DA1D1B" w:rsidRPr="00DA1D1B" w14:paraId="71167A1C" w14:textId="77777777" w:rsidTr="00DA1D1B">
        <w:trPr>
          <w:trHeight w:val="288"/>
        </w:trPr>
        <w:tc>
          <w:tcPr>
            <w:tcW w:w="1302" w:type="dxa"/>
            <w:vMerge w:val="restart"/>
            <w:tcBorders>
              <w:top w:val="nil"/>
              <w:left w:val="nil"/>
              <w:bottom w:val="single" w:sz="8" w:space="0" w:color="000000"/>
              <w:right w:val="nil"/>
            </w:tcBorders>
            <w:noWrap/>
            <w:vAlign w:val="center"/>
            <w:hideMark/>
          </w:tcPr>
          <w:p w14:paraId="7A89195C"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South</w:t>
            </w:r>
          </w:p>
        </w:tc>
        <w:tc>
          <w:tcPr>
            <w:tcW w:w="934" w:type="dxa"/>
            <w:tcBorders>
              <w:top w:val="nil"/>
              <w:left w:val="nil"/>
              <w:bottom w:val="nil"/>
              <w:right w:val="nil"/>
            </w:tcBorders>
            <w:noWrap/>
            <w:vAlign w:val="bottom"/>
            <w:hideMark/>
          </w:tcPr>
          <w:p w14:paraId="789ECF09"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Charter</w:t>
            </w:r>
          </w:p>
        </w:tc>
        <w:tc>
          <w:tcPr>
            <w:tcW w:w="2155" w:type="dxa"/>
            <w:tcBorders>
              <w:top w:val="nil"/>
              <w:left w:val="nil"/>
              <w:bottom w:val="nil"/>
              <w:right w:val="nil"/>
            </w:tcBorders>
            <w:noWrap/>
            <w:vAlign w:val="bottom"/>
            <w:hideMark/>
          </w:tcPr>
          <w:p w14:paraId="7F798CC5"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91.5%</w:t>
            </w:r>
          </w:p>
        </w:tc>
        <w:tc>
          <w:tcPr>
            <w:tcW w:w="785" w:type="dxa"/>
            <w:tcBorders>
              <w:top w:val="nil"/>
              <w:left w:val="nil"/>
              <w:bottom w:val="nil"/>
              <w:right w:val="nil"/>
            </w:tcBorders>
            <w:noWrap/>
            <w:vAlign w:val="bottom"/>
            <w:hideMark/>
          </w:tcPr>
          <w:p w14:paraId="751A4F2F"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17.8%</w:t>
            </w:r>
          </w:p>
        </w:tc>
        <w:tc>
          <w:tcPr>
            <w:tcW w:w="785" w:type="dxa"/>
            <w:tcBorders>
              <w:top w:val="nil"/>
              <w:left w:val="nil"/>
              <w:bottom w:val="nil"/>
              <w:right w:val="nil"/>
            </w:tcBorders>
            <w:noWrap/>
            <w:vAlign w:val="bottom"/>
            <w:hideMark/>
          </w:tcPr>
          <w:p w14:paraId="0D5CB464"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12.7%</w:t>
            </w:r>
          </w:p>
        </w:tc>
        <w:tc>
          <w:tcPr>
            <w:tcW w:w="1493" w:type="dxa"/>
            <w:tcBorders>
              <w:top w:val="nil"/>
              <w:left w:val="nil"/>
              <w:bottom w:val="nil"/>
              <w:right w:val="nil"/>
            </w:tcBorders>
            <w:noWrap/>
            <w:vAlign w:val="bottom"/>
            <w:hideMark/>
          </w:tcPr>
          <w:p w14:paraId="38810C9D"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w:t>
            </w:r>
          </w:p>
        </w:tc>
        <w:tc>
          <w:tcPr>
            <w:tcW w:w="1382" w:type="dxa"/>
            <w:vMerge w:val="restart"/>
            <w:tcBorders>
              <w:top w:val="nil"/>
              <w:left w:val="nil"/>
              <w:bottom w:val="single" w:sz="8" w:space="0" w:color="000000"/>
              <w:right w:val="nil"/>
            </w:tcBorders>
            <w:noWrap/>
            <w:vAlign w:val="center"/>
            <w:hideMark/>
          </w:tcPr>
          <w:p w14:paraId="49CDA3EC"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2.0 mi</w:t>
            </w:r>
          </w:p>
        </w:tc>
      </w:tr>
      <w:tr w:rsidR="00DA1D1B" w:rsidRPr="00DA1D1B" w14:paraId="606F93BD" w14:textId="77777777" w:rsidTr="00DA1D1B">
        <w:trPr>
          <w:trHeight w:val="300"/>
        </w:trPr>
        <w:tc>
          <w:tcPr>
            <w:tcW w:w="1302" w:type="dxa"/>
            <w:vMerge/>
            <w:tcBorders>
              <w:top w:val="nil"/>
              <w:left w:val="nil"/>
              <w:bottom w:val="single" w:sz="8" w:space="0" w:color="000000"/>
              <w:right w:val="nil"/>
            </w:tcBorders>
            <w:vAlign w:val="center"/>
            <w:hideMark/>
          </w:tcPr>
          <w:p w14:paraId="06577B29" w14:textId="77777777" w:rsidR="00DA1D1B" w:rsidRPr="00DA1D1B" w:rsidRDefault="00DA1D1B" w:rsidP="00DA1D1B">
            <w:pPr>
              <w:spacing w:after="0" w:line="240" w:lineRule="auto"/>
              <w:rPr>
                <w:rFonts w:ascii="Times New Roman" w:eastAsia="Times New Roman" w:hAnsi="Times New Roman" w:cs="Times New Roman"/>
                <w:color w:val="000000"/>
                <w:kern w:val="0"/>
                <w:sz w:val="22"/>
                <w:szCs w:val="22"/>
                <w14:ligatures w14:val="none"/>
              </w:rPr>
            </w:pPr>
          </w:p>
        </w:tc>
        <w:tc>
          <w:tcPr>
            <w:tcW w:w="934" w:type="dxa"/>
            <w:tcBorders>
              <w:top w:val="nil"/>
              <w:left w:val="nil"/>
              <w:bottom w:val="single" w:sz="8" w:space="0" w:color="auto"/>
              <w:right w:val="nil"/>
            </w:tcBorders>
            <w:noWrap/>
            <w:vAlign w:val="bottom"/>
            <w:hideMark/>
          </w:tcPr>
          <w:p w14:paraId="651C9874"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TPS</w:t>
            </w:r>
          </w:p>
        </w:tc>
        <w:tc>
          <w:tcPr>
            <w:tcW w:w="2155" w:type="dxa"/>
            <w:tcBorders>
              <w:top w:val="nil"/>
              <w:left w:val="nil"/>
              <w:bottom w:val="single" w:sz="8" w:space="0" w:color="auto"/>
              <w:right w:val="nil"/>
            </w:tcBorders>
            <w:noWrap/>
            <w:vAlign w:val="bottom"/>
            <w:hideMark/>
          </w:tcPr>
          <w:p w14:paraId="15117BB3"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90.8%</w:t>
            </w:r>
          </w:p>
        </w:tc>
        <w:tc>
          <w:tcPr>
            <w:tcW w:w="785" w:type="dxa"/>
            <w:tcBorders>
              <w:top w:val="nil"/>
              <w:left w:val="nil"/>
              <w:bottom w:val="single" w:sz="8" w:space="0" w:color="auto"/>
              <w:right w:val="nil"/>
            </w:tcBorders>
            <w:noWrap/>
            <w:vAlign w:val="bottom"/>
            <w:hideMark/>
          </w:tcPr>
          <w:p w14:paraId="5AC34889"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15.1%</w:t>
            </w:r>
          </w:p>
        </w:tc>
        <w:tc>
          <w:tcPr>
            <w:tcW w:w="785" w:type="dxa"/>
            <w:tcBorders>
              <w:top w:val="nil"/>
              <w:left w:val="nil"/>
              <w:bottom w:val="single" w:sz="8" w:space="0" w:color="auto"/>
              <w:right w:val="nil"/>
            </w:tcBorders>
            <w:noWrap/>
            <w:vAlign w:val="bottom"/>
            <w:hideMark/>
          </w:tcPr>
          <w:p w14:paraId="10C286B1"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16.7%</w:t>
            </w:r>
          </w:p>
        </w:tc>
        <w:tc>
          <w:tcPr>
            <w:tcW w:w="1493" w:type="dxa"/>
            <w:tcBorders>
              <w:top w:val="nil"/>
              <w:left w:val="nil"/>
              <w:bottom w:val="single" w:sz="8" w:space="0" w:color="auto"/>
              <w:right w:val="nil"/>
            </w:tcBorders>
            <w:noWrap/>
            <w:vAlign w:val="bottom"/>
            <w:hideMark/>
          </w:tcPr>
          <w:p w14:paraId="11B5DC64"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w:t>
            </w:r>
          </w:p>
        </w:tc>
        <w:tc>
          <w:tcPr>
            <w:tcW w:w="1382" w:type="dxa"/>
            <w:vMerge/>
            <w:tcBorders>
              <w:top w:val="nil"/>
              <w:left w:val="nil"/>
              <w:bottom w:val="single" w:sz="8" w:space="0" w:color="000000"/>
              <w:right w:val="nil"/>
            </w:tcBorders>
            <w:vAlign w:val="center"/>
            <w:hideMark/>
          </w:tcPr>
          <w:p w14:paraId="08D4A2A0" w14:textId="77777777" w:rsidR="00DA1D1B" w:rsidRPr="00DA1D1B" w:rsidRDefault="00DA1D1B" w:rsidP="00DA1D1B">
            <w:pPr>
              <w:spacing w:after="0" w:line="240" w:lineRule="auto"/>
              <w:rPr>
                <w:rFonts w:ascii="Times New Roman" w:eastAsia="Times New Roman" w:hAnsi="Times New Roman" w:cs="Times New Roman"/>
                <w:color w:val="000000"/>
                <w:kern w:val="0"/>
                <w:sz w:val="22"/>
                <w:szCs w:val="22"/>
                <w14:ligatures w14:val="none"/>
              </w:rPr>
            </w:pPr>
          </w:p>
        </w:tc>
      </w:tr>
      <w:tr w:rsidR="00DA1D1B" w:rsidRPr="00DA1D1B" w14:paraId="6738B7BA" w14:textId="77777777" w:rsidTr="00DA1D1B">
        <w:trPr>
          <w:trHeight w:val="288"/>
        </w:trPr>
        <w:tc>
          <w:tcPr>
            <w:tcW w:w="1302" w:type="dxa"/>
            <w:vMerge w:val="restart"/>
            <w:tcBorders>
              <w:top w:val="nil"/>
              <w:left w:val="nil"/>
              <w:bottom w:val="single" w:sz="8" w:space="0" w:color="000000"/>
              <w:right w:val="nil"/>
            </w:tcBorders>
            <w:noWrap/>
            <w:vAlign w:val="center"/>
            <w:hideMark/>
          </w:tcPr>
          <w:p w14:paraId="33839BAB"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North</w:t>
            </w:r>
          </w:p>
        </w:tc>
        <w:tc>
          <w:tcPr>
            <w:tcW w:w="934" w:type="dxa"/>
            <w:tcBorders>
              <w:top w:val="nil"/>
              <w:left w:val="nil"/>
              <w:bottom w:val="nil"/>
              <w:right w:val="nil"/>
            </w:tcBorders>
            <w:noWrap/>
            <w:vAlign w:val="bottom"/>
            <w:hideMark/>
          </w:tcPr>
          <w:p w14:paraId="5AF7B913"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Charter</w:t>
            </w:r>
          </w:p>
        </w:tc>
        <w:tc>
          <w:tcPr>
            <w:tcW w:w="2155" w:type="dxa"/>
            <w:tcBorders>
              <w:top w:val="nil"/>
              <w:left w:val="nil"/>
              <w:bottom w:val="nil"/>
              <w:right w:val="nil"/>
            </w:tcBorders>
            <w:noWrap/>
            <w:vAlign w:val="bottom"/>
            <w:hideMark/>
          </w:tcPr>
          <w:p w14:paraId="6C83F274"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96.1%</w:t>
            </w:r>
          </w:p>
        </w:tc>
        <w:tc>
          <w:tcPr>
            <w:tcW w:w="785" w:type="dxa"/>
            <w:tcBorders>
              <w:top w:val="nil"/>
              <w:left w:val="nil"/>
              <w:bottom w:val="nil"/>
              <w:right w:val="nil"/>
            </w:tcBorders>
            <w:noWrap/>
            <w:vAlign w:val="bottom"/>
            <w:hideMark/>
          </w:tcPr>
          <w:p w14:paraId="1CF94334"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42.7%</w:t>
            </w:r>
          </w:p>
        </w:tc>
        <w:tc>
          <w:tcPr>
            <w:tcW w:w="785" w:type="dxa"/>
            <w:tcBorders>
              <w:top w:val="nil"/>
              <w:left w:val="nil"/>
              <w:bottom w:val="nil"/>
              <w:right w:val="nil"/>
            </w:tcBorders>
            <w:noWrap/>
            <w:vAlign w:val="bottom"/>
            <w:hideMark/>
          </w:tcPr>
          <w:p w14:paraId="2193ED7F"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12.7%</w:t>
            </w:r>
          </w:p>
        </w:tc>
        <w:tc>
          <w:tcPr>
            <w:tcW w:w="1493" w:type="dxa"/>
            <w:tcBorders>
              <w:top w:val="nil"/>
              <w:left w:val="nil"/>
              <w:bottom w:val="nil"/>
              <w:right w:val="nil"/>
            </w:tcBorders>
            <w:noWrap/>
            <w:vAlign w:val="bottom"/>
            <w:hideMark/>
          </w:tcPr>
          <w:p w14:paraId="430ADF2D"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w:t>
            </w:r>
          </w:p>
        </w:tc>
        <w:tc>
          <w:tcPr>
            <w:tcW w:w="1382" w:type="dxa"/>
            <w:vMerge w:val="restart"/>
            <w:tcBorders>
              <w:top w:val="nil"/>
              <w:left w:val="nil"/>
              <w:bottom w:val="single" w:sz="8" w:space="0" w:color="000000"/>
              <w:right w:val="nil"/>
            </w:tcBorders>
            <w:noWrap/>
            <w:vAlign w:val="center"/>
            <w:hideMark/>
          </w:tcPr>
          <w:p w14:paraId="1320AA7A"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5.5 mi</w:t>
            </w:r>
          </w:p>
        </w:tc>
      </w:tr>
      <w:tr w:rsidR="00DA1D1B" w:rsidRPr="00DA1D1B" w14:paraId="3A094357" w14:textId="77777777" w:rsidTr="00DA1D1B">
        <w:trPr>
          <w:trHeight w:val="300"/>
        </w:trPr>
        <w:tc>
          <w:tcPr>
            <w:tcW w:w="1302" w:type="dxa"/>
            <w:vMerge/>
            <w:tcBorders>
              <w:top w:val="nil"/>
              <w:left w:val="nil"/>
              <w:bottom w:val="single" w:sz="8" w:space="0" w:color="000000"/>
              <w:right w:val="nil"/>
            </w:tcBorders>
            <w:vAlign w:val="center"/>
            <w:hideMark/>
          </w:tcPr>
          <w:p w14:paraId="05ED3743" w14:textId="77777777" w:rsidR="00DA1D1B" w:rsidRPr="00DA1D1B" w:rsidRDefault="00DA1D1B" w:rsidP="00DA1D1B">
            <w:pPr>
              <w:spacing w:after="0" w:line="240" w:lineRule="auto"/>
              <w:rPr>
                <w:rFonts w:ascii="Times New Roman" w:eastAsia="Times New Roman" w:hAnsi="Times New Roman" w:cs="Times New Roman"/>
                <w:color w:val="000000"/>
                <w:kern w:val="0"/>
                <w:sz w:val="22"/>
                <w:szCs w:val="22"/>
                <w14:ligatures w14:val="none"/>
              </w:rPr>
            </w:pPr>
          </w:p>
        </w:tc>
        <w:tc>
          <w:tcPr>
            <w:tcW w:w="934" w:type="dxa"/>
            <w:tcBorders>
              <w:top w:val="nil"/>
              <w:left w:val="nil"/>
              <w:bottom w:val="single" w:sz="8" w:space="0" w:color="auto"/>
              <w:right w:val="nil"/>
            </w:tcBorders>
            <w:noWrap/>
            <w:vAlign w:val="bottom"/>
            <w:hideMark/>
          </w:tcPr>
          <w:p w14:paraId="786DACE6"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TPS</w:t>
            </w:r>
          </w:p>
        </w:tc>
        <w:tc>
          <w:tcPr>
            <w:tcW w:w="2155" w:type="dxa"/>
            <w:tcBorders>
              <w:top w:val="nil"/>
              <w:left w:val="nil"/>
              <w:bottom w:val="single" w:sz="8" w:space="0" w:color="auto"/>
              <w:right w:val="nil"/>
            </w:tcBorders>
            <w:noWrap/>
            <w:vAlign w:val="bottom"/>
            <w:hideMark/>
          </w:tcPr>
          <w:p w14:paraId="228EF02A"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95.2%</w:t>
            </w:r>
          </w:p>
        </w:tc>
        <w:tc>
          <w:tcPr>
            <w:tcW w:w="785" w:type="dxa"/>
            <w:tcBorders>
              <w:top w:val="nil"/>
              <w:left w:val="nil"/>
              <w:bottom w:val="single" w:sz="8" w:space="0" w:color="auto"/>
              <w:right w:val="nil"/>
            </w:tcBorders>
            <w:noWrap/>
            <w:vAlign w:val="bottom"/>
            <w:hideMark/>
          </w:tcPr>
          <w:p w14:paraId="60A0316E"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48.0%</w:t>
            </w:r>
          </w:p>
        </w:tc>
        <w:tc>
          <w:tcPr>
            <w:tcW w:w="785" w:type="dxa"/>
            <w:tcBorders>
              <w:top w:val="nil"/>
              <w:left w:val="nil"/>
              <w:bottom w:val="single" w:sz="8" w:space="0" w:color="auto"/>
              <w:right w:val="nil"/>
            </w:tcBorders>
            <w:noWrap/>
            <w:vAlign w:val="bottom"/>
            <w:hideMark/>
          </w:tcPr>
          <w:p w14:paraId="7C952F4F"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12.3%</w:t>
            </w:r>
          </w:p>
        </w:tc>
        <w:tc>
          <w:tcPr>
            <w:tcW w:w="1493" w:type="dxa"/>
            <w:tcBorders>
              <w:top w:val="nil"/>
              <w:left w:val="nil"/>
              <w:bottom w:val="single" w:sz="8" w:space="0" w:color="auto"/>
              <w:right w:val="nil"/>
            </w:tcBorders>
            <w:noWrap/>
            <w:vAlign w:val="bottom"/>
            <w:hideMark/>
          </w:tcPr>
          <w:p w14:paraId="0244EE8D"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w:t>
            </w:r>
          </w:p>
        </w:tc>
        <w:tc>
          <w:tcPr>
            <w:tcW w:w="1382" w:type="dxa"/>
            <w:vMerge/>
            <w:tcBorders>
              <w:top w:val="nil"/>
              <w:left w:val="nil"/>
              <w:bottom w:val="single" w:sz="8" w:space="0" w:color="000000"/>
              <w:right w:val="nil"/>
            </w:tcBorders>
            <w:vAlign w:val="center"/>
            <w:hideMark/>
          </w:tcPr>
          <w:p w14:paraId="29804CA6" w14:textId="77777777" w:rsidR="00DA1D1B" w:rsidRPr="00DA1D1B" w:rsidRDefault="00DA1D1B" w:rsidP="00DA1D1B">
            <w:pPr>
              <w:spacing w:after="0" w:line="240" w:lineRule="auto"/>
              <w:rPr>
                <w:rFonts w:ascii="Times New Roman" w:eastAsia="Times New Roman" w:hAnsi="Times New Roman" w:cs="Times New Roman"/>
                <w:color w:val="000000"/>
                <w:kern w:val="0"/>
                <w:sz w:val="22"/>
                <w:szCs w:val="22"/>
                <w14:ligatures w14:val="none"/>
              </w:rPr>
            </w:pPr>
          </w:p>
        </w:tc>
      </w:tr>
      <w:tr w:rsidR="00DA1D1B" w:rsidRPr="00DA1D1B" w14:paraId="0DD45515" w14:textId="77777777" w:rsidTr="00DA1D1B">
        <w:trPr>
          <w:trHeight w:val="288"/>
        </w:trPr>
        <w:tc>
          <w:tcPr>
            <w:tcW w:w="1302" w:type="dxa"/>
            <w:vMerge w:val="restart"/>
            <w:tcBorders>
              <w:top w:val="nil"/>
              <w:left w:val="nil"/>
              <w:bottom w:val="single" w:sz="8" w:space="0" w:color="000000"/>
              <w:right w:val="nil"/>
            </w:tcBorders>
            <w:noWrap/>
            <w:vAlign w:val="center"/>
            <w:hideMark/>
          </w:tcPr>
          <w:p w14:paraId="10693295"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Southwest</w:t>
            </w:r>
          </w:p>
        </w:tc>
        <w:tc>
          <w:tcPr>
            <w:tcW w:w="934" w:type="dxa"/>
            <w:tcBorders>
              <w:top w:val="nil"/>
              <w:left w:val="nil"/>
              <w:bottom w:val="nil"/>
              <w:right w:val="nil"/>
            </w:tcBorders>
            <w:noWrap/>
            <w:vAlign w:val="bottom"/>
            <w:hideMark/>
          </w:tcPr>
          <w:p w14:paraId="2EC626AB"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Charter</w:t>
            </w:r>
          </w:p>
        </w:tc>
        <w:tc>
          <w:tcPr>
            <w:tcW w:w="2155" w:type="dxa"/>
            <w:tcBorders>
              <w:top w:val="nil"/>
              <w:left w:val="nil"/>
              <w:bottom w:val="nil"/>
              <w:right w:val="nil"/>
            </w:tcBorders>
            <w:noWrap/>
            <w:vAlign w:val="bottom"/>
            <w:hideMark/>
          </w:tcPr>
          <w:p w14:paraId="02C62BDE"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89.9%</w:t>
            </w:r>
          </w:p>
        </w:tc>
        <w:tc>
          <w:tcPr>
            <w:tcW w:w="785" w:type="dxa"/>
            <w:tcBorders>
              <w:top w:val="nil"/>
              <w:left w:val="nil"/>
              <w:bottom w:val="nil"/>
              <w:right w:val="nil"/>
            </w:tcBorders>
            <w:noWrap/>
            <w:vAlign w:val="bottom"/>
            <w:hideMark/>
          </w:tcPr>
          <w:p w14:paraId="078D8A8A"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39.7%</w:t>
            </w:r>
          </w:p>
        </w:tc>
        <w:tc>
          <w:tcPr>
            <w:tcW w:w="785" w:type="dxa"/>
            <w:tcBorders>
              <w:top w:val="nil"/>
              <w:left w:val="nil"/>
              <w:bottom w:val="nil"/>
              <w:right w:val="nil"/>
            </w:tcBorders>
            <w:noWrap/>
            <w:vAlign w:val="bottom"/>
            <w:hideMark/>
          </w:tcPr>
          <w:p w14:paraId="5C088E06"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6.9%</w:t>
            </w:r>
          </w:p>
        </w:tc>
        <w:tc>
          <w:tcPr>
            <w:tcW w:w="1493" w:type="dxa"/>
            <w:tcBorders>
              <w:top w:val="nil"/>
              <w:left w:val="nil"/>
              <w:bottom w:val="nil"/>
              <w:right w:val="nil"/>
            </w:tcBorders>
            <w:noWrap/>
            <w:vAlign w:val="bottom"/>
            <w:hideMark/>
          </w:tcPr>
          <w:p w14:paraId="4F3D6E5C"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w:t>
            </w:r>
          </w:p>
        </w:tc>
        <w:tc>
          <w:tcPr>
            <w:tcW w:w="1382" w:type="dxa"/>
            <w:vMerge w:val="restart"/>
            <w:tcBorders>
              <w:top w:val="nil"/>
              <w:left w:val="nil"/>
              <w:bottom w:val="single" w:sz="8" w:space="0" w:color="000000"/>
              <w:right w:val="nil"/>
            </w:tcBorders>
            <w:noWrap/>
            <w:vAlign w:val="center"/>
            <w:hideMark/>
          </w:tcPr>
          <w:p w14:paraId="02BFA973"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8.0 mi</w:t>
            </w:r>
          </w:p>
        </w:tc>
      </w:tr>
      <w:tr w:rsidR="00DA1D1B" w:rsidRPr="00DA1D1B" w14:paraId="1726C85F" w14:textId="77777777" w:rsidTr="00DA1D1B">
        <w:trPr>
          <w:trHeight w:val="300"/>
        </w:trPr>
        <w:tc>
          <w:tcPr>
            <w:tcW w:w="1302" w:type="dxa"/>
            <w:vMerge/>
            <w:tcBorders>
              <w:top w:val="nil"/>
              <w:left w:val="nil"/>
              <w:bottom w:val="single" w:sz="8" w:space="0" w:color="000000"/>
              <w:right w:val="nil"/>
            </w:tcBorders>
            <w:vAlign w:val="center"/>
            <w:hideMark/>
          </w:tcPr>
          <w:p w14:paraId="25D0B1DE" w14:textId="77777777" w:rsidR="00DA1D1B" w:rsidRPr="00DA1D1B" w:rsidRDefault="00DA1D1B" w:rsidP="00DA1D1B">
            <w:pPr>
              <w:spacing w:after="0" w:line="240" w:lineRule="auto"/>
              <w:rPr>
                <w:rFonts w:ascii="Times New Roman" w:eastAsia="Times New Roman" w:hAnsi="Times New Roman" w:cs="Times New Roman"/>
                <w:color w:val="000000"/>
                <w:kern w:val="0"/>
                <w:sz w:val="22"/>
                <w:szCs w:val="22"/>
                <w14:ligatures w14:val="none"/>
              </w:rPr>
            </w:pPr>
          </w:p>
        </w:tc>
        <w:tc>
          <w:tcPr>
            <w:tcW w:w="934" w:type="dxa"/>
            <w:tcBorders>
              <w:top w:val="nil"/>
              <w:left w:val="nil"/>
              <w:bottom w:val="single" w:sz="8" w:space="0" w:color="auto"/>
              <w:right w:val="nil"/>
            </w:tcBorders>
            <w:noWrap/>
            <w:vAlign w:val="bottom"/>
            <w:hideMark/>
          </w:tcPr>
          <w:p w14:paraId="524454B5"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TPS</w:t>
            </w:r>
          </w:p>
        </w:tc>
        <w:tc>
          <w:tcPr>
            <w:tcW w:w="2155" w:type="dxa"/>
            <w:tcBorders>
              <w:top w:val="nil"/>
              <w:left w:val="nil"/>
              <w:bottom w:val="single" w:sz="8" w:space="0" w:color="auto"/>
              <w:right w:val="nil"/>
            </w:tcBorders>
            <w:noWrap/>
            <w:vAlign w:val="bottom"/>
            <w:hideMark/>
          </w:tcPr>
          <w:p w14:paraId="22729366"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91.3%</w:t>
            </w:r>
          </w:p>
        </w:tc>
        <w:tc>
          <w:tcPr>
            <w:tcW w:w="785" w:type="dxa"/>
            <w:tcBorders>
              <w:top w:val="nil"/>
              <w:left w:val="nil"/>
              <w:bottom w:val="single" w:sz="8" w:space="0" w:color="auto"/>
              <w:right w:val="nil"/>
            </w:tcBorders>
            <w:noWrap/>
            <w:vAlign w:val="bottom"/>
            <w:hideMark/>
          </w:tcPr>
          <w:p w14:paraId="208D7C42"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42.6%</w:t>
            </w:r>
          </w:p>
        </w:tc>
        <w:tc>
          <w:tcPr>
            <w:tcW w:w="785" w:type="dxa"/>
            <w:tcBorders>
              <w:top w:val="nil"/>
              <w:left w:val="nil"/>
              <w:bottom w:val="single" w:sz="8" w:space="0" w:color="auto"/>
              <w:right w:val="nil"/>
            </w:tcBorders>
            <w:noWrap/>
            <w:vAlign w:val="bottom"/>
            <w:hideMark/>
          </w:tcPr>
          <w:p w14:paraId="6EE4BF66"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10.9%</w:t>
            </w:r>
          </w:p>
        </w:tc>
        <w:tc>
          <w:tcPr>
            <w:tcW w:w="1493" w:type="dxa"/>
            <w:tcBorders>
              <w:top w:val="nil"/>
              <w:left w:val="nil"/>
              <w:bottom w:val="single" w:sz="8" w:space="0" w:color="auto"/>
              <w:right w:val="nil"/>
            </w:tcBorders>
            <w:noWrap/>
            <w:vAlign w:val="bottom"/>
            <w:hideMark/>
          </w:tcPr>
          <w:p w14:paraId="588F9A93"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w:t>
            </w:r>
          </w:p>
        </w:tc>
        <w:tc>
          <w:tcPr>
            <w:tcW w:w="1382" w:type="dxa"/>
            <w:vMerge/>
            <w:tcBorders>
              <w:top w:val="nil"/>
              <w:left w:val="nil"/>
              <w:bottom w:val="single" w:sz="8" w:space="0" w:color="000000"/>
              <w:right w:val="nil"/>
            </w:tcBorders>
            <w:vAlign w:val="center"/>
            <w:hideMark/>
          </w:tcPr>
          <w:p w14:paraId="1829D03F" w14:textId="77777777" w:rsidR="00DA1D1B" w:rsidRPr="00DA1D1B" w:rsidRDefault="00DA1D1B" w:rsidP="00DA1D1B">
            <w:pPr>
              <w:spacing w:after="0" w:line="240" w:lineRule="auto"/>
              <w:rPr>
                <w:rFonts w:ascii="Times New Roman" w:eastAsia="Times New Roman" w:hAnsi="Times New Roman" w:cs="Times New Roman"/>
                <w:color w:val="000000"/>
                <w:kern w:val="0"/>
                <w:sz w:val="22"/>
                <w:szCs w:val="22"/>
                <w14:ligatures w14:val="none"/>
              </w:rPr>
            </w:pPr>
          </w:p>
        </w:tc>
      </w:tr>
      <w:tr w:rsidR="00DA1D1B" w:rsidRPr="00DA1D1B" w14:paraId="7DFFC856" w14:textId="77777777" w:rsidTr="00DA1D1B">
        <w:trPr>
          <w:trHeight w:val="288"/>
        </w:trPr>
        <w:tc>
          <w:tcPr>
            <w:tcW w:w="1302" w:type="dxa"/>
            <w:vMerge w:val="restart"/>
            <w:tcBorders>
              <w:top w:val="nil"/>
              <w:left w:val="nil"/>
              <w:bottom w:val="single" w:sz="8" w:space="0" w:color="000000"/>
              <w:right w:val="nil"/>
            </w:tcBorders>
            <w:noWrap/>
            <w:vAlign w:val="center"/>
            <w:hideMark/>
          </w:tcPr>
          <w:p w14:paraId="45E1A2ED"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East</w:t>
            </w:r>
          </w:p>
        </w:tc>
        <w:tc>
          <w:tcPr>
            <w:tcW w:w="934" w:type="dxa"/>
            <w:tcBorders>
              <w:top w:val="nil"/>
              <w:left w:val="nil"/>
              <w:bottom w:val="nil"/>
              <w:right w:val="nil"/>
            </w:tcBorders>
            <w:noWrap/>
            <w:vAlign w:val="bottom"/>
            <w:hideMark/>
          </w:tcPr>
          <w:p w14:paraId="7C3443B2"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Charter</w:t>
            </w:r>
          </w:p>
        </w:tc>
        <w:tc>
          <w:tcPr>
            <w:tcW w:w="2155" w:type="dxa"/>
            <w:tcBorders>
              <w:top w:val="nil"/>
              <w:left w:val="nil"/>
              <w:bottom w:val="nil"/>
              <w:right w:val="nil"/>
            </w:tcBorders>
            <w:noWrap/>
            <w:vAlign w:val="bottom"/>
            <w:hideMark/>
          </w:tcPr>
          <w:p w14:paraId="7C160F8D"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90.9%</w:t>
            </w:r>
          </w:p>
        </w:tc>
        <w:tc>
          <w:tcPr>
            <w:tcW w:w="785" w:type="dxa"/>
            <w:tcBorders>
              <w:top w:val="nil"/>
              <w:left w:val="nil"/>
              <w:bottom w:val="nil"/>
              <w:right w:val="nil"/>
            </w:tcBorders>
            <w:noWrap/>
            <w:vAlign w:val="bottom"/>
            <w:hideMark/>
          </w:tcPr>
          <w:p w14:paraId="755F9938"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39.1%</w:t>
            </w:r>
          </w:p>
        </w:tc>
        <w:tc>
          <w:tcPr>
            <w:tcW w:w="785" w:type="dxa"/>
            <w:tcBorders>
              <w:top w:val="nil"/>
              <w:left w:val="nil"/>
              <w:bottom w:val="nil"/>
              <w:right w:val="nil"/>
            </w:tcBorders>
            <w:noWrap/>
            <w:vAlign w:val="bottom"/>
            <w:hideMark/>
          </w:tcPr>
          <w:p w14:paraId="6F85E311"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11.2%</w:t>
            </w:r>
          </w:p>
        </w:tc>
        <w:tc>
          <w:tcPr>
            <w:tcW w:w="1493" w:type="dxa"/>
            <w:tcBorders>
              <w:top w:val="nil"/>
              <w:left w:val="nil"/>
              <w:bottom w:val="nil"/>
              <w:right w:val="nil"/>
            </w:tcBorders>
            <w:noWrap/>
            <w:vAlign w:val="bottom"/>
            <w:hideMark/>
          </w:tcPr>
          <w:p w14:paraId="7E64E867"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w:t>
            </w:r>
          </w:p>
        </w:tc>
        <w:tc>
          <w:tcPr>
            <w:tcW w:w="1382" w:type="dxa"/>
            <w:vMerge w:val="restart"/>
            <w:tcBorders>
              <w:top w:val="nil"/>
              <w:left w:val="nil"/>
              <w:bottom w:val="single" w:sz="8" w:space="0" w:color="000000"/>
              <w:right w:val="nil"/>
            </w:tcBorders>
            <w:noWrap/>
            <w:vAlign w:val="center"/>
            <w:hideMark/>
          </w:tcPr>
          <w:p w14:paraId="0034A08C"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5.0 mi</w:t>
            </w:r>
          </w:p>
        </w:tc>
      </w:tr>
      <w:tr w:rsidR="00DA1D1B" w:rsidRPr="00DA1D1B" w14:paraId="5A726657" w14:textId="77777777" w:rsidTr="00DA1D1B">
        <w:trPr>
          <w:trHeight w:val="300"/>
        </w:trPr>
        <w:tc>
          <w:tcPr>
            <w:tcW w:w="1302" w:type="dxa"/>
            <w:vMerge/>
            <w:tcBorders>
              <w:top w:val="nil"/>
              <w:left w:val="nil"/>
              <w:bottom w:val="single" w:sz="8" w:space="0" w:color="000000"/>
              <w:right w:val="nil"/>
            </w:tcBorders>
            <w:vAlign w:val="center"/>
            <w:hideMark/>
          </w:tcPr>
          <w:p w14:paraId="58B59543" w14:textId="77777777" w:rsidR="00DA1D1B" w:rsidRPr="00DA1D1B" w:rsidRDefault="00DA1D1B" w:rsidP="00DA1D1B">
            <w:pPr>
              <w:spacing w:after="0" w:line="240" w:lineRule="auto"/>
              <w:rPr>
                <w:rFonts w:ascii="Times New Roman" w:eastAsia="Times New Roman" w:hAnsi="Times New Roman" w:cs="Times New Roman"/>
                <w:color w:val="000000"/>
                <w:kern w:val="0"/>
                <w:sz w:val="22"/>
                <w:szCs w:val="22"/>
                <w14:ligatures w14:val="none"/>
              </w:rPr>
            </w:pPr>
          </w:p>
        </w:tc>
        <w:tc>
          <w:tcPr>
            <w:tcW w:w="934" w:type="dxa"/>
            <w:tcBorders>
              <w:top w:val="nil"/>
              <w:left w:val="nil"/>
              <w:bottom w:val="single" w:sz="8" w:space="0" w:color="auto"/>
              <w:right w:val="nil"/>
            </w:tcBorders>
            <w:noWrap/>
            <w:vAlign w:val="bottom"/>
            <w:hideMark/>
          </w:tcPr>
          <w:p w14:paraId="492C0388"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TPS</w:t>
            </w:r>
          </w:p>
        </w:tc>
        <w:tc>
          <w:tcPr>
            <w:tcW w:w="2155" w:type="dxa"/>
            <w:tcBorders>
              <w:top w:val="nil"/>
              <w:left w:val="nil"/>
              <w:bottom w:val="single" w:sz="8" w:space="0" w:color="auto"/>
              <w:right w:val="nil"/>
            </w:tcBorders>
            <w:noWrap/>
            <w:vAlign w:val="bottom"/>
            <w:hideMark/>
          </w:tcPr>
          <w:p w14:paraId="38904A3B"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93.9%</w:t>
            </w:r>
          </w:p>
        </w:tc>
        <w:tc>
          <w:tcPr>
            <w:tcW w:w="785" w:type="dxa"/>
            <w:tcBorders>
              <w:top w:val="nil"/>
              <w:left w:val="nil"/>
              <w:bottom w:val="single" w:sz="8" w:space="0" w:color="auto"/>
              <w:right w:val="nil"/>
            </w:tcBorders>
            <w:noWrap/>
            <w:vAlign w:val="bottom"/>
            <w:hideMark/>
          </w:tcPr>
          <w:p w14:paraId="127C7A66"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40.6%</w:t>
            </w:r>
          </w:p>
        </w:tc>
        <w:tc>
          <w:tcPr>
            <w:tcW w:w="785" w:type="dxa"/>
            <w:tcBorders>
              <w:top w:val="nil"/>
              <w:left w:val="nil"/>
              <w:bottom w:val="single" w:sz="8" w:space="0" w:color="auto"/>
              <w:right w:val="nil"/>
            </w:tcBorders>
            <w:noWrap/>
            <w:vAlign w:val="bottom"/>
            <w:hideMark/>
          </w:tcPr>
          <w:p w14:paraId="4C70610A"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11.4%</w:t>
            </w:r>
          </w:p>
        </w:tc>
        <w:tc>
          <w:tcPr>
            <w:tcW w:w="1493" w:type="dxa"/>
            <w:tcBorders>
              <w:top w:val="nil"/>
              <w:left w:val="nil"/>
              <w:bottom w:val="single" w:sz="8" w:space="0" w:color="auto"/>
              <w:right w:val="nil"/>
            </w:tcBorders>
            <w:noWrap/>
            <w:vAlign w:val="bottom"/>
            <w:hideMark/>
          </w:tcPr>
          <w:p w14:paraId="0E478923" w14:textId="77777777" w:rsidR="00DA1D1B" w:rsidRPr="00DA1D1B" w:rsidRDefault="00DA1D1B" w:rsidP="00DA1D1B">
            <w:pPr>
              <w:spacing w:after="0" w:line="240" w:lineRule="auto"/>
              <w:jc w:val="center"/>
              <w:rPr>
                <w:rFonts w:ascii="Times New Roman" w:eastAsia="Times New Roman" w:hAnsi="Times New Roman" w:cs="Times New Roman"/>
                <w:color w:val="000000"/>
                <w:kern w:val="0"/>
                <w:sz w:val="22"/>
                <w:szCs w:val="22"/>
                <w14:ligatures w14:val="none"/>
              </w:rPr>
            </w:pPr>
            <w:r w:rsidRPr="00DA1D1B">
              <w:rPr>
                <w:rFonts w:ascii="Times New Roman" w:eastAsia="Times New Roman" w:hAnsi="Times New Roman" w:cs="Times New Roman"/>
                <w:color w:val="000000"/>
                <w:kern w:val="0"/>
                <w:sz w:val="22"/>
                <w:szCs w:val="22"/>
                <w14:ligatures w14:val="none"/>
              </w:rPr>
              <w:t>±5%</w:t>
            </w:r>
          </w:p>
        </w:tc>
        <w:tc>
          <w:tcPr>
            <w:tcW w:w="1382" w:type="dxa"/>
            <w:vMerge/>
            <w:tcBorders>
              <w:top w:val="nil"/>
              <w:left w:val="nil"/>
              <w:bottom w:val="single" w:sz="8" w:space="0" w:color="000000"/>
              <w:right w:val="nil"/>
            </w:tcBorders>
            <w:vAlign w:val="center"/>
            <w:hideMark/>
          </w:tcPr>
          <w:p w14:paraId="6964C8A6" w14:textId="77777777" w:rsidR="00DA1D1B" w:rsidRPr="00DA1D1B" w:rsidRDefault="00DA1D1B" w:rsidP="00DA1D1B">
            <w:pPr>
              <w:spacing w:after="0" w:line="240" w:lineRule="auto"/>
              <w:rPr>
                <w:rFonts w:ascii="Aptos Narrow" w:eastAsia="Times New Roman" w:hAnsi="Aptos Narrow" w:cs="Times New Roman"/>
                <w:color w:val="000000"/>
                <w:kern w:val="0"/>
                <w:sz w:val="22"/>
                <w:szCs w:val="22"/>
                <w14:ligatures w14:val="none"/>
              </w:rPr>
            </w:pPr>
          </w:p>
        </w:tc>
      </w:tr>
    </w:tbl>
    <w:p w14:paraId="6AB4CBCA" w14:textId="306ACF11" w:rsidR="00FE6E33" w:rsidRPr="004231FB" w:rsidRDefault="004231FB" w:rsidP="00D96394">
      <w:pPr>
        <w:rPr>
          <w:rFonts w:ascii="Times New Roman" w:hAnsi="Times New Roman" w:cs="Times New Roman"/>
        </w:rPr>
      </w:pPr>
      <w:r w:rsidRPr="004231FB">
        <w:rPr>
          <w:rFonts w:ascii="Times New Roman" w:hAnsi="Times New Roman" w:cs="Times New Roman"/>
          <w:i/>
          <w:iCs/>
        </w:rPr>
        <w:t>Note:</w:t>
      </w:r>
      <w:r w:rsidRPr="004231FB">
        <w:rPr>
          <w:rFonts w:ascii="Times New Roman" w:hAnsi="Times New Roman" w:cs="Times New Roman"/>
        </w:rPr>
        <w:t xml:space="preserve"> Traditional Public Schools = TPS </w:t>
      </w:r>
    </w:p>
    <w:p w14:paraId="65DF744B" w14:textId="77777777" w:rsidR="00D96394" w:rsidRDefault="00D96394" w:rsidP="00FE6E33">
      <w:pPr>
        <w:jc w:val="center"/>
        <w:rPr>
          <w:rFonts w:ascii="Times New Roman" w:hAnsi="Times New Roman" w:cs="Times New Roman"/>
        </w:rPr>
      </w:pPr>
    </w:p>
    <w:p w14:paraId="0CF38BBF" w14:textId="77777777" w:rsidR="00D96394" w:rsidRDefault="00D96394" w:rsidP="00FE6E33">
      <w:pPr>
        <w:jc w:val="center"/>
        <w:rPr>
          <w:rFonts w:ascii="Times New Roman" w:hAnsi="Times New Roman" w:cs="Times New Roman"/>
        </w:rPr>
      </w:pPr>
    </w:p>
    <w:p w14:paraId="498FD8D1" w14:textId="77777777" w:rsidR="00D96394" w:rsidRDefault="00D96394" w:rsidP="00FE6E33">
      <w:pPr>
        <w:jc w:val="center"/>
        <w:rPr>
          <w:rFonts w:ascii="Times New Roman" w:hAnsi="Times New Roman" w:cs="Times New Roman"/>
        </w:rPr>
      </w:pPr>
    </w:p>
    <w:p w14:paraId="2830C326" w14:textId="77777777" w:rsidR="00D96394" w:rsidRDefault="00D96394" w:rsidP="00FE6E33">
      <w:pPr>
        <w:jc w:val="center"/>
        <w:rPr>
          <w:rFonts w:ascii="Times New Roman" w:hAnsi="Times New Roman" w:cs="Times New Roman"/>
        </w:rPr>
      </w:pPr>
    </w:p>
    <w:p w14:paraId="39C78804" w14:textId="77777777" w:rsidR="00D96394" w:rsidRDefault="00D96394" w:rsidP="00FE6E33">
      <w:pPr>
        <w:jc w:val="center"/>
        <w:rPr>
          <w:rFonts w:ascii="Times New Roman" w:hAnsi="Times New Roman" w:cs="Times New Roman"/>
        </w:rPr>
      </w:pPr>
    </w:p>
    <w:p w14:paraId="109ABAE4" w14:textId="77777777" w:rsidR="00D96394" w:rsidRDefault="00D96394" w:rsidP="00FE6E33">
      <w:pPr>
        <w:jc w:val="center"/>
        <w:rPr>
          <w:rFonts w:ascii="Times New Roman" w:hAnsi="Times New Roman" w:cs="Times New Roman"/>
        </w:rPr>
      </w:pPr>
    </w:p>
    <w:p w14:paraId="7B2BEEA4" w14:textId="77777777" w:rsidR="00D96394" w:rsidRDefault="00D96394" w:rsidP="00FE6E33">
      <w:pPr>
        <w:jc w:val="center"/>
        <w:rPr>
          <w:rFonts w:ascii="Times New Roman" w:hAnsi="Times New Roman" w:cs="Times New Roman"/>
        </w:rPr>
      </w:pPr>
    </w:p>
    <w:p w14:paraId="42F68278" w14:textId="77777777" w:rsidR="00D96394" w:rsidRDefault="00D96394" w:rsidP="00FE6E33">
      <w:pPr>
        <w:jc w:val="center"/>
        <w:rPr>
          <w:rFonts w:ascii="Times New Roman" w:hAnsi="Times New Roman" w:cs="Times New Roman"/>
        </w:rPr>
      </w:pPr>
    </w:p>
    <w:p w14:paraId="1AEA6AAD" w14:textId="77777777" w:rsidR="00D96394" w:rsidRDefault="00D96394" w:rsidP="00FE6E33">
      <w:pPr>
        <w:jc w:val="center"/>
        <w:rPr>
          <w:rFonts w:ascii="Times New Roman" w:hAnsi="Times New Roman" w:cs="Times New Roman"/>
        </w:rPr>
      </w:pPr>
    </w:p>
    <w:p w14:paraId="7ED9DD2C" w14:textId="77777777" w:rsidR="00D96394" w:rsidRDefault="00D96394" w:rsidP="00FE6E33">
      <w:pPr>
        <w:jc w:val="center"/>
        <w:rPr>
          <w:rFonts w:ascii="Times New Roman" w:hAnsi="Times New Roman" w:cs="Times New Roman"/>
        </w:rPr>
      </w:pPr>
    </w:p>
    <w:p w14:paraId="2B44FF6E" w14:textId="77777777" w:rsidR="00D96394" w:rsidRDefault="00D96394" w:rsidP="00FE6E33">
      <w:pPr>
        <w:jc w:val="center"/>
        <w:rPr>
          <w:rFonts w:ascii="Times New Roman" w:hAnsi="Times New Roman" w:cs="Times New Roman"/>
        </w:rPr>
      </w:pPr>
    </w:p>
    <w:p w14:paraId="75827473" w14:textId="77777777" w:rsidR="00D96394" w:rsidRDefault="00D96394" w:rsidP="00FE6E33">
      <w:pPr>
        <w:jc w:val="center"/>
        <w:rPr>
          <w:rFonts w:ascii="Times New Roman" w:hAnsi="Times New Roman" w:cs="Times New Roman"/>
        </w:rPr>
      </w:pPr>
    </w:p>
    <w:p w14:paraId="0FB660BB" w14:textId="77777777" w:rsidR="00D96394" w:rsidRDefault="00D96394" w:rsidP="00FE6E33">
      <w:pPr>
        <w:jc w:val="center"/>
        <w:rPr>
          <w:rFonts w:ascii="Times New Roman" w:hAnsi="Times New Roman" w:cs="Times New Roman"/>
        </w:rPr>
      </w:pPr>
    </w:p>
    <w:p w14:paraId="21662C30" w14:textId="77777777" w:rsidR="00D96394" w:rsidRDefault="00D96394" w:rsidP="00FE6E33">
      <w:pPr>
        <w:jc w:val="center"/>
        <w:rPr>
          <w:rFonts w:ascii="Times New Roman" w:hAnsi="Times New Roman" w:cs="Times New Roman"/>
        </w:rPr>
      </w:pPr>
    </w:p>
    <w:p w14:paraId="4F56DC54" w14:textId="77777777" w:rsidR="00A704A0" w:rsidRDefault="00A704A0" w:rsidP="00FE6E33">
      <w:pPr>
        <w:jc w:val="center"/>
        <w:rPr>
          <w:rFonts w:ascii="Times New Roman" w:hAnsi="Times New Roman" w:cs="Times New Roman"/>
        </w:rPr>
      </w:pPr>
    </w:p>
    <w:p w14:paraId="1D685F91" w14:textId="77777777" w:rsidR="00D96394" w:rsidRPr="004231FB" w:rsidRDefault="00D96394" w:rsidP="004231FB">
      <w:pPr>
        <w:rPr>
          <w:rFonts w:ascii="Times New Roman" w:hAnsi="Times New Roman" w:cs="Times New Roman"/>
        </w:rPr>
      </w:pPr>
    </w:p>
    <w:tbl>
      <w:tblPr>
        <w:tblW w:w="9500" w:type="dxa"/>
        <w:tblLook w:val="04A0" w:firstRow="1" w:lastRow="0" w:firstColumn="1" w:lastColumn="0" w:noHBand="0" w:noVBand="1"/>
      </w:tblPr>
      <w:tblGrid>
        <w:gridCol w:w="3596"/>
        <w:gridCol w:w="1243"/>
        <w:gridCol w:w="941"/>
        <w:gridCol w:w="1820"/>
        <w:gridCol w:w="1900"/>
      </w:tblGrid>
      <w:tr w:rsidR="00D96394" w:rsidRPr="00D96394" w14:paraId="3220A2EF" w14:textId="77777777" w:rsidTr="004231FB">
        <w:trPr>
          <w:trHeight w:val="300"/>
        </w:trPr>
        <w:tc>
          <w:tcPr>
            <w:tcW w:w="5780" w:type="dxa"/>
            <w:gridSpan w:val="3"/>
            <w:tcBorders>
              <w:top w:val="nil"/>
              <w:left w:val="nil"/>
              <w:bottom w:val="single" w:sz="8" w:space="0" w:color="auto"/>
              <w:right w:val="nil"/>
            </w:tcBorders>
            <w:noWrap/>
            <w:vAlign w:val="bottom"/>
            <w:hideMark/>
          </w:tcPr>
          <w:p w14:paraId="4389F3F3"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lastRenderedPageBreak/>
              <w:t>Table 2: SAT/ACT &amp; College Readiness Descriptive Statistics</w:t>
            </w:r>
          </w:p>
        </w:tc>
        <w:tc>
          <w:tcPr>
            <w:tcW w:w="1820" w:type="dxa"/>
            <w:tcBorders>
              <w:top w:val="nil"/>
              <w:left w:val="nil"/>
              <w:bottom w:val="single" w:sz="8" w:space="0" w:color="auto"/>
              <w:right w:val="nil"/>
            </w:tcBorders>
            <w:noWrap/>
            <w:vAlign w:val="bottom"/>
            <w:hideMark/>
          </w:tcPr>
          <w:p w14:paraId="1E609250"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 </w:t>
            </w:r>
          </w:p>
        </w:tc>
        <w:tc>
          <w:tcPr>
            <w:tcW w:w="1900" w:type="dxa"/>
            <w:tcBorders>
              <w:top w:val="nil"/>
              <w:left w:val="nil"/>
              <w:bottom w:val="single" w:sz="8" w:space="0" w:color="auto"/>
              <w:right w:val="nil"/>
            </w:tcBorders>
            <w:noWrap/>
            <w:vAlign w:val="bottom"/>
            <w:hideMark/>
          </w:tcPr>
          <w:p w14:paraId="79D9C327"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 </w:t>
            </w:r>
          </w:p>
        </w:tc>
      </w:tr>
      <w:tr w:rsidR="00D96394" w:rsidRPr="00D96394" w14:paraId="68CE01DD" w14:textId="77777777" w:rsidTr="004231FB">
        <w:trPr>
          <w:trHeight w:val="300"/>
        </w:trPr>
        <w:tc>
          <w:tcPr>
            <w:tcW w:w="3596" w:type="dxa"/>
            <w:tcBorders>
              <w:top w:val="nil"/>
              <w:left w:val="nil"/>
              <w:bottom w:val="single" w:sz="8" w:space="0" w:color="auto"/>
              <w:right w:val="nil"/>
            </w:tcBorders>
            <w:noWrap/>
            <w:vAlign w:val="bottom"/>
            <w:hideMark/>
          </w:tcPr>
          <w:p w14:paraId="291776BA"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Metric</w:t>
            </w:r>
          </w:p>
        </w:tc>
        <w:tc>
          <w:tcPr>
            <w:tcW w:w="1243" w:type="dxa"/>
            <w:tcBorders>
              <w:top w:val="nil"/>
              <w:left w:val="nil"/>
              <w:bottom w:val="single" w:sz="8" w:space="0" w:color="auto"/>
              <w:right w:val="nil"/>
            </w:tcBorders>
            <w:noWrap/>
            <w:vAlign w:val="bottom"/>
            <w:hideMark/>
          </w:tcPr>
          <w:p w14:paraId="0432977D"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Model</w:t>
            </w:r>
          </w:p>
        </w:tc>
        <w:tc>
          <w:tcPr>
            <w:tcW w:w="941" w:type="dxa"/>
            <w:tcBorders>
              <w:top w:val="nil"/>
              <w:left w:val="nil"/>
              <w:bottom w:val="single" w:sz="8" w:space="0" w:color="auto"/>
              <w:right w:val="nil"/>
            </w:tcBorders>
            <w:noWrap/>
            <w:vAlign w:val="bottom"/>
            <w:hideMark/>
          </w:tcPr>
          <w:p w14:paraId="23EA48B0"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Mean</w:t>
            </w:r>
          </w:p>
        </w:tc>
        <w:tc>
          <w:tcPr>
            <w:tcW w:w="1820" w:type="dxa"/>
            <w:tcBorders>
              <w:top w:val="nil"/>
              <w:left w:val="nil"/>
              <w:bottom w:val="single" w:sz="8" w:space="0" w:color="auto"/>
              <w:right w:val="nil"/>
            </w:tcBorders>
            <w:noWrap/>
            <w:vAlign w:val="bottom"/>
            <w:hideMark/>
          </w:tcPr>
          <w:p w14:paraId="6DF35D34"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Standard Deviation</w:t>
            </w:r>
          </w:p>
        </w:tc>
        <w:tc>
          <w:tcPr>
            <w:tcW w:w="1900" w:type="dxa"/>
            <w:tcBorders>
              <w:top w:val="nil"/>
              <w:left w:val="nil"/>
              <w:bottom w:val="single" w:sz="8" w:space="0" w:color="auto"/>
              <w:right w:val="nil"/>
            </w:tcBorders>
            <w:noWrap/>
            <w:vAlign w:val="bottom"/>
            <w:hideMark/>
          </w:tcPr>
          <w:p w14:paraId="2C4B88DB"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Mean Difference</w:t>
            </w:r>
          </w:p>
        </w:tc>
      </w:tr>
      <w:tr w:rsidR="00D96394" w:rsidRPr="00D96394" w14:paraId="6EB14B8B" w14:textId="77777777" w:rsidTr="004231FB">
        <w:trPr>
          <w:trHeight w:val="300"/>
        </w:trPr>
        <w:tc>
          <w:tcPr>
            <w:tcW w:w="9500" w:type="dxa"/>
            <w:gridSpan w:val="5"/>
            <w:tcBorders>
              <w:top w:val="single" w:sz="8" w:space="0" w:color="auto"/>
              <w:left w:val="nil"/>
              <w:bottom w:val="single" w:sz="8" w:space="0" w:color="auto"/>
              <w:right w:val="nil"/>
            </w:tcBorders>
            <w:noWrap/>
            <w:vAlign w:val="bottom"/>
            <w:hideMark/>
          </w:tcPr>
          <w:p w14:paraId="422A5FFD"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All Students</w:t>
            </w:r>
          </w:p>
        </w:tc>
      </w:tr>
      <w:tr w:rsidR="00D96394" w:rsidRPr="00D96394" w14:paraId="18D0A99F" w14:textId="77777777" w:rsidTr="004231FB">
        <w:trPr>
          <w:trHeight w:val="288"/>
        </w:trPr>
        <w:tc>
          <w:tcPr>
            <w:tcW w:w="3596" w:type="dxa"/>
            <w:vMerge w:val="restart"/>
            <w:tcBorders>
              <w:top w:val="nil"/>
              <w:left w:val="nil"/>
              <w:bottom w:val="nil"/>
              <w:right w:val="nil"/>
            </w:tcBorders>
            <w:noWrap/>
            <w:vAlign w:val="bottom"/>
            <w:hideMark/>
          </w:tcPr>
          <w:p w14:paraId="22ABFD26"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 xml:space="preserve">SAT/ACT PARTICIPATION RATE </w:t>
            </w:r>
          </w:p>
        </w:tc>
        <w:tc>
          <w:tcPr>
            <w:tcW w:w="1243" w:type="dxa"/>
            <w:tcBorders>
              <w:top w:val="nil"/>
              <w:left w:val="nil"/>
              <w:bottom w:val="nil"/>
              <w:right w:val="nil"/>
            </w:tcBorders>
            <w:noWrap/>
            <w:vAlign w:val="bottom"/>
            <w:hideMark/>
          </w:tcPr>
          <w:p w14:paraId="3B1B52C7"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bottom"/>
            <w:hideMark/>
          </w:tcPr>
          <w:p w14:paraId="22436A12"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100.0%</w:t>
            </w:r>
          </w:p>
        </w:tc>
        <w:tc>
          <w:tcPr>
            <w:tcW w:w="1820" w:type="dxa"/>
            <w:tcBorders>
              <w:top w:val="nil"/>
              <w:left w:val="nil"/>
              <w:bottom w:val="nil"/>
              <w:right w:val="nil"/>
            </w:tcBorders>
            <w:noWrap/>
            <w:vAlign w:val="bottom"/>
            <w:hideMark/>
          </w:tcPr>
          <w:p w14:paraId="0F48FCD9"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0.0%</w:t>
            </w:r>
          </w:p>
        </w:tc>
        <w:tc>
          <w:tcPr>
            <w:tcW w:w="1900" w:type="dxa"/>
            <w:vMerge w:val="restart"/>
            <w:tcBorders>
              <w:top w:val="nil"/>
              <w:left w:val="nil"/>
              <w:bottom w:val="nil"/>
              <w:right w:val="nil"/>
            </w:tcBorders>
            <w:noWrap/>
            <w:vAlign w:val="center"/>
            <w:hideMark/>
          </w:tcPr>
          <w:p w14:paraId="7E18CF2B"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10.3%</w:t>
            </w:r>
          </w:p>
        </w:tc>
      </w:tr>
      <w:tr w:rsidR="00D96394" w:rsidRPr="00D96394" w14:paraId="7153DDA4" w14:textId="77777777" w:rsidTr="004231FB">
        <w:trPr>
          <w:trHeight w:val="288"/>
        </w:trPr>
        <w:tc>
          <w:tcPr>
            <w:tcW w:w="3596" w:type="dxa"/>
            <w:vMerge/>
            <w:tcBorders>
              <w:top w:val="nil"/>
              <w:left w:val="nil"/>
              <w:bottom w:val="nil"/>
              <w:right w:val="nil"/>
            </w:tcBorders>
            <w:vAlign w:val="center"/>
            <w:hideMark/>
          </w:tcPr>
          <w:p w14:paraId="1807FC20"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p>
        </w:tc>
        <w:tc>
          <w:tcPr>
            <w:tcW w:w="1243" w:type="dxa"/>
            <w:tcBorders>
              <w:top w:val="nil"/>
              <w:left w:val="nil"/>
              <w:bottom w:val="nil"/>
              <w:right w:val="nil"/>
            </w:tcBorders>
            <w:noWrap/>
            <w:vAlign w:val="bottom"/>
            <w:hideMark/>
          </w:tcPr>
          <w:p w14:paraId="0560166B"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TPS</w:t>
            </w:r>
          </w:p>
        </w:tc>
        <w:tc>
          <w:tcPr>
            <w:tcW w:w="941" w:type="dxa"/>
            <w:tcBorders>
              <w:top w:val="nil"/>
              <w:left w:val="nil"/>
              <w:bottom w:val="nil"/>
              <w:right w:val="nil"/>
            </w:tcBorders>
            <w:noWrap/>
            <w:vAlign w:val="bottom"/>
            <w:hideMark/>
          </w:tcPr>
          <w:p w14:paraId="5248C297"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89.7%</w:t>
            </w:r>
          </w:p>
        </w:tc>
        <w:tc>
          <w:tcPr>
            <w:tcW w:w="1820" w:type="dxa"/>
            <w:tcBorders>
              <w:top w:val="nil"/>
              <w:left w:val="nil"/>
              <w:bottom w:val="nil"/>
              <w:right w:val="nil"/>
            </w:tcBorders>
            <w:noWrap/>
            <w:vAlign w:val="bottom"/>
            <w:hideMark/>
          </w:tcPr>
          <w:p w14:paraId="4C5DEBC7"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5.4%</w:t>
            </w:r>
          </w:p>
        </w:tc>
        <w:tc>
          <w:tcPr>
            <w:tcW w:w="1900" w:type="dxa"/>
            <w:vMerge/>
            <w:tcBorders>
              <w:top w:val="nil"/>
              <w:left w:val="nil"/>
              <w:bottom w:val="nil"/>
              <w:right w:val="nil"/>
            </w:tcBorders>
            <w:vAlign w:val="center"/>
            <w:hideMark/>
          </w:tcPr>
          <w:p w14:paraId="4A2B11BA"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p>
        </w:tc>
      </w:tr>
      <w:tr w:rsidR="00D96394" w:rsidRPr="00D96394" w14:paraId="0EEEBDAC" w14:textId="77777777" w:rsidTr="004231FB">
        <w:trPr>
          <w:trHeight w:val="288"/>
        </w:trPr>
        <w:tc>
          <w:tcPr>
            <w:tcW w:w="3596" w:type="dxa"/>
            <w:vMerge w:val="restart"/>
            <w:tcBorders>
              <w:top w:val="nil"/>
              <w:left w:val="nil"/>
              <w:bottom w:val="nil"/>
              <w:right w:val="nil"/>
            </w:tcBorders>
            <w:noWrap/>
            <w:vAlign w:val="bottom"/>
            <w:hideMark/>
          </w:tcPr>
          <w:p w14:paraId="396ACAF3"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SAT/ACT CRITERION MET</w:t>
            </w:r>
          </w:p>
        </w:tc>
        <w:tc>
          <w:tcPr>
            <w:tcW w:w="1243" w:type="dxa"/>
            <w:tcBorders>
              <w:top w:val="nil"/>
              <w:left w:val="nil"/>
              <w:bottom w:val="nil"/>
              <w:right w:val="nil"/>
            </w:tcBorders>
            <w:noWrap/>
            <w:vAlign w:val="bottom"/>
            <w:hideMark/>
          </w:tcPr>
          <w:p w14:paraId="50F8952F"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bottom"/>
            <w:hideMark/>
          </w:tcPr>
          <w:p w14:paraId="6B7FFBCC"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16.4%</w:t>
            </w:r>
          </w:p>
        </w:tc>
        <w:tc>
          <w:tcPr>
            <w:tcW w:w="1820" w:type="dxa"/>
            <w:tcBorders>
              <w:top w:val="nil"/>
              <w:left w:val="nil"/>
              <w:bottom w:val="nil"/>
              <w:right w:val="nil"/>
            </w:tcBorders>
            <w:noWrap/>
            <w:vAlign w:val="bottom"/>
            <w:hideMark/>
          </w:tcPr>
          <w:p w14:paraId="27EBA524"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7.4%</w:t>
            </w:r>
          </w:p>
        </w:tc>
        <w:tc>
          <w:tcPr>
            <w:tcW w:w="1900" w:type="dxa"/>
            <w:vMerge w:val="restart"/>
            <w:tcBorders>
              <w:top w:val="nil"/>
              <w:left w:val="nil"/>
              <w:bottom w:val="nil"/>
              <w:right w:val="nil"/>
            </w:tcBorders>
            <w:noWrap/>
            <w:vAlign w:val="center"/>
            <w:hideMark/>
          </w:tcPr>
          <w:p w14:paraId="162B1C70"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10.5%</w:t>
            </w:r>
          </w:p>
        </w:tc>
      </w:tr>
      <w:tr w:rsidR="00D96394" w:rsidRPr="00D96394" w14:paraId="5BD900AD" w14:textId="77777777" w:rsidTr="004231FB">
        <w:trPr>
          <w:trHeight w:val="288"/>
        </w:trPr>
        <w:tc>
          <w:tcPr>
            <w:tcW w:w="3596" w:type="dxa"/>
            <w:vMerge/>
            <w:tcBorders>
              <w:top w:val="nil"/>
              <w:left w:val="nil"/>
              <w:bottom w:val="nil"/>
              <w:right w:val="nil"/>
            </w:tcBorders>
            <w:vAlign w:val="center"/>
            <w:hideMark/>
          </w:tcPr>
          <w:p w14:paraId="77EF1FCF"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p>
        </w:tc>
        <w:tc>
          <w:tcPr>
            <w:tcW w:w="1243" w:type="dxa"/>
            <w:tcBorders>
              <w:top w:val="nil"/>
              <w:left w:val="nil"/>
              <w:bottom w:val="nil"/>
              <w:right w:val="nil"/>
            </w:tcBorders>
            <w:noWrap/>
            <w:vAlign w:val="bottom"/>
            <w:hideMark/>
          </w:tcPr>
          <w:p w14:paraId="2BA44E79"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TPS</w:t>
            </w:r>
          </w:p>
        </w:tc>
        <w:tc>
          <w:tcPr>
            <w:tcW w:w="941" w:type="dxa"/>
            <w:tcBorders>
              <w:top w:val="nil"/>
              <w:left w:val="nil"/>
              <w:bottom w:val="nil"/>
              <w:right w:val="nil"/>
            </w:tcBorders>
            <w:noWrap/>
            <w:vAlign w:val="bottom"/>
            <w:hideMark/>
          </w:tcPr>
          <w:p w14:paraId="59633E9D"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5.9%</w:t>
            </w:r>
          </w:p>
        </w:tc>
        <w:tc>
          <w:tcPr>
            <w:tcW w:w="1820" w:type="dxa"/>
            <w:tcBorders>
              <w:top w:val="nil"/>
              <w:left w:val="nil"/>
              <w:bottom w:val="nil"/>
              <w:right w:val="nil"/>
            </w:tcBorders>
            <w:noWrap/>
            <w:vAlign w:val="bottom"/>
            <w:hideMark/>
          </w:tcPr>
          <w:p w14:paraId="4F65F1E3"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2.4%</w:t>
            </w:r>
          </w:p>
        </w:tc>
        <w:tc>
          <w:tcPr>
            <w:tcW w:w="1900" w:type="dxa"/>
            <w:vMerge/>
            <w:tcBorders>
              <w:top w:val="nil"/>
              <w:left w:val="nil"/>
              <w:bottom w:val="nil"/>
              <w:right w:val="nil"/>
            </w:tcBorders>
            <w:vAlign w:val="center"/>
            <w:hideMark/>
          </w:tcPr>
          <w:p w14:paraId="14FD7E0A"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p>
        </w:tc>
      </w:tr>
      <w:tr w:rsidR="00D96394" w:rsidRPr="00D96394" w14:paraId="3925EB95" w14:textId="77777777" w:rsidTr="004231FB">
        <w:trPr>
          <w:trHeight w:val="288"/>
        </w:trPr>
        <w:tc>
          <w:tcPr>
            <w:tcW w:w="3596" w:type="dxa"/>
            <w:vMerge w:val="restart"/>
            <w:tcBorders>
              <w:top w:val="nil"/>
              <w:left w:val="nil"/>
              <w:bottom w:val="single" w:sz="8" w:space="0" w:color="000000"/>
              <w:right w:val="nil"/>
            </w:tcBorders>
            <w:noWrap/>
            <w:vAlign w:val="bottom"/>
            <w:hideMark/>
          </w:tcPr>
          <w:p w14:paraId="2EFBCBC8"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COLLEGE READY ONLY</w:t>
            </w:r>
          </w:p>
        </w:tc>
        <w:tc>
          <w:tcPr>
            <w:tcW w:w="1243" w:type="dxa"/>
            <w:tcBorders>
              <w:top w:val="nil"/>
              <w:left w:val="nil"/>
              <w:bottom w:val="nil"/>
              <w:right w:val="nil"/>
            </w:tcBorders>
            <w:noWrap/>
            <w:vAlign w:val="bottom"/>
            <w:hideMark/>
          </w:tcPr>
          <w:p w14:paraId="0CC596D2"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bottom"/>
            <w:hideMark/>
          </w:tcPr>
          <w:p w14:paraId="13379DA1"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97.7%</w:t>
            </w:r>
          </w:p>
        </w:tc>
        <w:tc>
          <w:tcPr>
            <w:tcW w:w="1820" w:type="dxa"/>
            <w:tcBorders>
              <w:top w:val="nil"/>
              <w:left w:val="nil"/>
              <w:bottom w:val="nil"/>
              <w:right w:val="nil"/>
            </w:tcBorders>
            <w:noWrap/>
            <w:vAlign w:val="bottom"/>
            <w:hideMark/>
          </w:tcPr>
          <w:p w14:paraId="57A6EAD3"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1.0%</w:t>
            </w:r>
          </w:p>
        </w:tc>
        <w:tc>
          <w:tcPr>
            <w:tcW w:w="1900" w:type="dxa"/>
            <w:vMerge w:val="restart"/>
            <w:tcBorders>
              <w:top w:val="nil"/>
              <w:left w:val="nil"/>
              <w:bottom w:val="single" w:sz="8" w:space="0" w:color="000000"/>
              <w:right w:val="nil"/>
            </w:tcBorders>
            <w:noWrap/>
            <w:vAlign w:val="center"/>
            <w:hideMark/>
          </w:tcPr>
          <w:p w14:paraId="398B897A"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19.8%</w:t>
            </w:r>
          </w:p>
        </w:tc>
      </w:tr>
      <w:tr w:rsidR="00D96394" w:rsidRPr="00D96394" w14:paraId="2E6D345D" w14:textId="77777777" w:rsidTr="004231FB">
        <w:trPr>
          <w:trHeight w:val="300"/>
        </w:trPr>
        <w:tc>
          <w:tcPr>
            <w:tcW w:w="3596" w:type="dxa"/>
            <w:vMerge/>
            <w:tcBorders>
              <w:top w:val="nil"/>
              <w:left w:val="nil"/>
              <w:bottom w:val="single" w:sz="8" w:space="0" w:color="000000"/>
              <w:right w:val="nil"/>
            </w:tcBorders>
            <w:vAlign w:val="center"/>
            <w:hideMark/>
          </w:tcPr>
          <w:p w14:paraId="7ECB79EF"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p>
        </w:tc>
        <w:tc>
          <w:tcPr>
            <w:tcW w:w="1243" w:type="dxa"/>
            <w:tcBorders>
              <w:top w:val="nil"/>
              <w:left w:val="nil"/>
              <w:bottom w:val="single" w:sz="8" w:space="0" w:color="auto"/>
              <w:right w:val="nil"/>
            </w:tcBorders>
            <w:noWrap/>
            <w:vAlign w:val="bottom"/>
            <w:hideMark/>
          </w:tcPr>
          <w:p w14:paraId="5F11B89D"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TPS</w:t>
            </w:r>
          </w:p>
        </w:tc>
        <w:tc>
          <w:tcPr>
            <w:tcW w:w="941" w:type="dxa"/>
            <w:tcBorders>
              <w:top w:val="nil"/>
              <w:left w:val="nil"/>
              <w:bottom w:val="single" w:sz="8" w:space="0" w:color="auto"/>
              <w:right w:val="nil"/>
            </w:tcBorders>
            <w:noWrap/>
            <w:vAlign w:val="bottom"/>
            <w:hideMark/>
          </w:tcPr>
          <w:p w14:paraId="45E4435D"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77.9%</w:t>
            </w:r>
          </w:p>
        </w:tc>
        <w:tc>
          <w:tcPr>
            <w:tcW w:w="1820" w:type="dxa"/>
            <w:tcBorders>
              <w:top w:val="nil"/>
              <w:left w:val="nil"/>
              <w:bottom w:val="single" w:sz="8" w:space="0" w:color="auto"/>
              <w:right w:val="nil"/>
            </w:tcBorders>
            <w:noWrap/>
            <w:vAlign w:val="bottom"/>
            <w:hideMark/>
          </w:tcPr>
          <w:p w14:paraId="60F928F1"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4.1%</w:t>
            </w:r>
          </w:p>
        </w:tc>
        <w:tc>
          <w:tcPr>
            <w:tcW w:w="1900" w:type="dxa"/>
            <w:vMerge/>
            <w:tcBorders>
              <w:top w:val="nil"/>
              <w:left w:val="nil"/>
              <w:bottom w:val="single" w:sz="8" w:space="0" w:color="000000"/>
              <w:right w:val="nil"/>
            </w:tcBorders>
            <w:vAlign w:val="center"/>
            <w:hideMark/>
          </w:tcPr>
          <w:p w14:paraId="51A47D71"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p>
        </w:tc>
      </w:tr>
      <w:tr w:rsidR="00D96394" w:rsidRPr="00D96394" w14:paraId="4B95B348" w14:textId="77777777" w:rsidTr="004231FB">
        <w:trPr>
          <w:trHeight w:val="324"/>
        </w:trPr>
        <w:tc>
          <w:tcPr>
            <w:tcW w:w="9500" w:type="dxa"/>
            <w:gridSpan w:val="5"/>
            <w:tcBorders>
              <w:top w:val="nil"/>
              <w:left w:val="nil"/>
              <w:bottom w:val="single" w:sz="8" w:space="0" w:color="auto"/>
              <w:right w:val="nil"/>
            </w:tcBorders>
            <w:vAlign w:val="bottom"/>
            <w:hideMark/>
          </w:tcPr>
          <w:p w14:paraId="2E7EA53C"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 xml:space="preserve">Economically Disadvantaged </w:t>
            </w:r>
          </w:p>
        </w:tc>
      </w:tr>
      <w:tr w:rsidR="00D96394" w:rsidRPr="00D96394" w14:paraId="5B0D2424" w14:textId="77777777" w:rsidTr="004231FB">
        <w:trPr>
          <w:trHeight w:val="288"/>
        </w:trPr>
        <w:tc>
          <w:tcPr>
            <w:tcW w:w="3596" w:type="dxa"/>
            <w:vMerge w:val="restart"/>
            <w:tcBorders>
              <w:top w:val="nil"/>
              <w:left w:val="nil"/>
              <w:bottom w:val="nil"/>
              <w:right w:val="nil"/>
            </w:tcBorders>
            <w:noWrap/>
            <w:vAlign w:val="bottom"/>
            <w:hideMark/>
          </w:tcPr>
          <w:p w14:paraId="490BABBF"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 xml:space="preserve">SAT/ACT PARTICIPATION RATE </w:t>
            </w:r>
          </w:p>
        </w:tc>
        <w:tc>
          <w:tcPr>
            <w:tcW w:w="1243" w:type="dxa"/>
            <w:tcBorders>
              <w:top w:val="nil"/>
              <w:left w:val="nil"/>
              <w:bottom w:val="nil"/>
              <w:right w:val="nil"/>
            </w:tcBorders>
            <w:noWrap/>
            <w:vAlign w:val="bottom"/>
            <w:hideMark/>
          </w:tcPr>
          <w:p w14:paraId="5FC88904"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bottom"/>
            <w:hideMark/>
          </w:tcPr>
          <w:p w14:paraId="2B3D34FF"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100.0%</w:t>
            </w:r>
          </w:p>
        </w:tc>
        <w:tc>
          <w:tcPr>
            <w:tcW w:w="1820" w:type="dxa"/>
            <w:tcBorders>
              <w:top w:val="nil"/>
              <w:left w:val="nil"/>
              <w:bottom w:val="nil"/>
              <w:right w:val="nil"/>
            </w:tcBorders>
            <w:noWrap/>
            <w:vAlign w:val="bottom"/>
            <w:hideMark/>
          </w:tcPr>
          <w:p w14:paraId="6626EC9B"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0.0%</w:t>
            </w:r>
          </w:p>
        </w:tc>
        <w:tc>
          <w:tcPr>
            <w:tcW w:w="1900" w:type="dxa"/>
            <w:vMerge w:val="restart"/>
            <w:tcBorders>
              <w:top w:val="nil"/>
              <w:left w:val="nil"/>
              <w:bottom w:val="nil"/>
              <w:right w:val="nil"/>
            </w:tcBorders>
            <w:noWrap/>
            <w:vAlign w:val="center"/>
            <w:hideMark/>
          </w:tcPr>
          <w:p w14:paraId="7E4FEB91"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10.5%</w:t>
            </w:r>
          </w:p>
        </w:tc>
      </w:tr>
      <w:tr w:rsidR="00D96394" w:rsidRPr="00D96394" w14:paraId="51213461" w14:textId="77777777" w:rsidTr="004231FB">
        <w:trPr>
          <w:trHeight w:val="288"/>
        </w:trPr>
        <w:tc>
          <w:tcPr>
            <w:tcW w:w="3596" w:type="dxa"/>
            <w:vMerge/>
            <w:tcBorders>
              <w:top w:val="nil"/>
              <w:left w:val="nil"/>
              <w:bottom w:val="nil"/>
              <w:right w:val="nil"/>
            </w:tcBorders>
            <w:vAlign w:val="center"/>
            <w:hideMark/>
          </w:tcPr>
          <w:p w14:paraId="22306CB2"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p>
        </w:tc>
        <w:tc>
          <w:tcPr>
            <w:tcW w:w="1243" w:type="dxa"/>
            <w:tcBorders>
              <w:top w:val="nil"/>
              <w:left w:val="nil"/>
              <w:bottom w:val="nil"/>
              <w:right w:val="nil"/>
            </w:tcBorders>
            <w:noWrap/>
            <w:vAlign w:val="bottom"/>
            <w:hideMark/>
          </w:tcPr>
          <w:p w14:paraId="36C6A68E"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TPS</w:t>
            </w:r>
          </w:p>
        </w:tc>
        <w:tc>
          <w:tcPr>
            <w:tcW w:w="941" w:type="dxa"/>
            <w:tcBorders>
              <w:top w:val="nil"/>
              <w:left w:val="nil"/>
              <w:bottom w:val="nil"/>
              <w:right w:val="nil"/>
            </w:tcBorders>
            <w:noWrap/>
            <w:vAlign w:val="bottom"/>
            <w:hideMark/>
          </w:tcPr>
          <w:p w14:paraId="7DF070C5"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89.5%</w:t>
            </w:r>
          </w:p>
        </w:tc>
        <w:tc>
          <w:tcPr>
            <w:tcW w:w="1820" w:type="dxa"/>
            <w:tcBorders>
              <w:top w:val="nil"/>
              <w:left w:val="nil"/>
              <w:bottom w:val="nil"/>
              <w:right w:val="nil"/>
            </w:tcBorders>
            <w:noWrap/>
            <w:vAlign w:val="bottom"/>
            <w:hideMark/>
          </w:tcPr>
          <w:p w14:paraId="0C2337F2"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5.5%</w:t>
            </w:r>
          </w:p>
        </w:tc>
        <w:tc>
          <w:tcPr>
            <w:tcW w:w="1900" w:type="dxa"/>
            <w:vMerge/>
            <w:tcBorders>
              <w:top w:val="nil"/>
              <w:left w:val="nil"/>
              <w:bottom w:val="nil"/>
              <w:right w:val="nil"/>
            </w:tcBorders>
            <w:vAlign w:val="center"/>
            <w:hideMark/>
          </w:tcPr>
          <w:p w14:paraId="3E25F47D"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p>
        </w:tc>
      </w:tr>
      <w:tr w:rsidR="00D96394" w:rsidRPr="00D96394" w14:paraId="4537F0B4" w14:textId="77777777" w:rsidTr="004231FB">
        <w:trPr>
          <w:trHeight w:val="288"/>
        </w:trPr>
        <w:tc>
          <w:tcPr>
            <w:tcW w:w="3596" w:type="dxa"/>
            <w:vMerge w:val="restart"/>
            <w:tcBorders>
              <w:top w:val="nil"/>
              <w:left w:val="nil"/>
              <w:bottom w:val="nil"/>
              <w:right w:val="nil"/>
            </w:tcBorders>
            <w:noWrap/>
            <w:vAlign w:val="bottom"/>
            <w:hideMark/>
          </w:tcPr>
          <w:p w14:paraId="01E34655"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SAT/ACT CRITERION MET</w:t>
            </w:r>
          </w:p>
        </w:tc>
        <w:tc>
          <w:tcPr>
            <w:tcW w:w="1243" w:type="dxa"/>
            <w:tcBorders>
              <w:top w:val="nil"/>
              <w:left w:val="nil"/>
              <w:bottom w:val="nil"/>
              <w:right w:val="nil"/>
            </w:tcBorders>
            <w:noWrap/>
            <w:vAlign w:val="bottom"/>
            <w:hideMark/>
          </w:tcPr>
          <w:p w14:paraId="070DDD3C"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bottom"/>
            <w:hideMark/>
          </w:tcPr>
          <w:p w14:paraId="39ECFCAC"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16.5%</w:t>
            </w:r>
          </w:p>
        </w:tc>
        <w:tc>
          <w:tcPr>
            <w:tcW w:w="1820" w:type="dxa"/>
            <w:tcBorders>
              <w:top w:val="nil"/>
              <w:left w:val="nil"/>
              <w:bottom w:val="nil"/>
              <w:right w:val="nil"/>
            </w:tcBorders>
            <w:noWrap/>
            <w:vAlign w:val="bottom"/>
            <w:hideMark/>
          </w:tcPr>
          <w:p w14:paraId="53A633F5"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7.7%</w:t>
            </w:r>
          </w:p>
        </w:tc>
        <w:tc>
          <w:tcPr>
            <w:tcW w:w="1900" w:type="dxa"/>
            <w:vMerge w:val="restart"/>
            <w:tcBorders>
              <w:top w:val="nil"/>
              <w:left w:val="nil"/>
              <w:bottom w:val="nil"/>
              <w:right w:val="nil"/>
            </w:tcBorders>
            <w:noWrap/>
            <w:vAlign w:val="center"/>
            <w:hideMark/>
          </w:tcPr>
          <w:p w14:paraId="2A24149F"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11.0%</w:t>
            </w:r>
          </w:p>
        </w:tc>
      </w:tr>
      <w:tr w:rsidR="00D96394" w:rsidRPr="00D96394" w14:paraId="5A9FBE6E" w14:textId="77777777" w:rsidTr="004231FB">
        <w:trPr>
          <w:trHeight w:val="288"/>
        </w:trPr>
        <w:tc>
          <w:tcPr>
            <w:tcW w:w="3596" w:type="dxa"/>
            <w:vMerge/>
            <w:tcBorders>
              <w:top w:val="nil"/>
              <w:left w:val="nil"/>
              <w:bottom w:val="nil"/>
              <w:right w:val="nil"/>
            </w:tcBorders>
            <w:vAlign w:val="center"/>
            <w:hideMark/>
          </w:tcPr>
          <w:p w14:paraId="0E19F42C"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p>
        </w:tc>
        <w:tc>
          <w:tcPr>
            <w:tcW w:w="1243" w:type="dxa"/>
            <w:tcBorders>
              <w:top w:val="nil"/>
              <w:left w:val="nil"/>
              <w:bottom w:val="nil"/>
              <w:right w:val="nil"/>
            </w:tcBorders>
            <w:noWrap/>
            <w:vAlign w:val="bottom"/>
            <w:hideMark/>
          </w:tcPr>
          <w:p w14:paraId="14B8FA1A"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TPS</w:t>
            </w:r>
          </w:p>
        </w:tc>
        <w:tc>
          <w:tcPr>
            <w:tcW w:w="941" w:type="dxa"/>
            <w:tcBorders>
              <w:top w:val="nil"/>
              <w:left w:val="nil"/>
              <w:bottom w:val="nil"/>
              <w:right w:val="nil"/>
            </w:tcBorders>
            <w:noWrap/>
            <w:vAlign w:val="bottom"/>
            <w:hideMark/>
          </w:tcPr>
          <w:p w14:paraId="175F812D"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5.6%</w:t>
            </w:r>
          </w:p>
        </w:tc>
        <w:tc>
          <w:tcPr>
            <w:tcW w:w="1820" w:type="dxa"/>
            <w:tcBorders>
              <w:top w:val="nil"/>
              <w:left w:val="nil"/>
              <w:bottom w:val="nil"/>
              <w:right w:val="nil"/>
            </w:tcBorders>
            <w:noWrap/>
            <w:vAlign w:val="bottom"/>
            <w:hideMark/>
          </w:tcPr>
          <w:p w14:paraId="45EB6AFF"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2.2%</w:t>
            </w:r>
          </w:p>
        </w:tc>
        <w:tc>
          <w:tcPr>
            <w:tcW w:w="1900" w:type="dxa"/>
            <w:vMerge/>
            <w:tcBorders>
              <w:top w:val="nil"/>
              <w:left w:val="nil"/>
              <w:bottom w:val="nil"/>
              <w:right w:val="nil"/>
            </w:tcBorders>
            <w:vAlign w:val="center"/>
            <w:hideMark/>
          </w:tcPr>
          <w:p w14:paraId="737495B2"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p>
        </w:tc>
      </w:tr>
      <w:tr w:rsidR="00D96394" w:rsidRPr="00D96394" w14:paraId="76BC2603" w14:textId="77777777" w:rsidTr="004231FB">
        <w:trPr>
          <w:trHeight w:val="288"/>
        </w:trPr>
        <w:tc>
          <w:tcPr>
            <w:tcW w:w="3596" w:type="dxa"/>
            <w:vMerge w:val="restart"/>
            <w:tcBorders>
              <w:top w:val="nil"/>
              <w:left w:val="nil"/>
              <w:bottom w:val="single" w:sz="8" w:space="0" w:color="000000"/>
              <w:right w:val="nil"/>
            </w:tcBorders>
            <w:noWrap/>
            <w:vAlign w:val="bottom"/>
            <w:hideMark/>
          </w:tcPr>
          <w:p w14:paraId="3D596A09"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COLLEGE READY ONLY</w:t>
            </w:r>
          </w:p>
        </w:tc>
        <w:tc>
          <w:tcPr>
            <w:tcW w:w="1243" w:type="dxa"/>
            <w:tcBorders>
              <w:top w:val="nil"/>
              <w:left w:val="nil"/>
              <w:bottom w:val="nil"/>
              <w:right w:val="nil"/>
            </w:tcBorders>
            <w:noWrap/>
            <w:vAlign w:val="bottom"/>
            <w:hideMark/>
          </w:tcPr>
          <w:p w14:paraId="2A45C093"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bottom"/>
            <w:hideMark/>
          </w:tcPr>
          <w:p w14:paraId="50F9910E"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98.5%</w:t>
            </w:r>
          </w:p>
        </w:tc>
        <w:tc>
          <w:tcPr>
            <w:tcW w:w="1820" w:type="dxa"/>
            <w:tcBorders>
              <w:top w:val="nil"/>
              <w:left w:val="nil"/>
              <w:bottom w:val="nil"/>
              <w:right w:val="nil"/>
            </w:tcBorders>
            <w:noWrap/>
            <w:vAlign w:val="bottom"/>
            <w:hideMark/>
          </w:tcPr>
          <w:p w14:paraId="113EB522"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1.3%</w:t>
            </w:r>
          </w:p>
        </w:tc>
        <w:tc>
          <w:tcPr>
            <w:tcW w:w="1900" w:type="dxa"/>
            <w:vMerge w:val="restart"/>
            <w:tcBorders>
              <w:top w:val="nil"/>
              <w:left w:val="nil"/>
              <w:bottom w:val="single" w:sz="8" w:space="0" w:color="000000"/>
              <w:right w:val="nil"/>
            </w:tcBorders>
            <w:noWrap/>
            <w:vAlign w:val="center"/>
            <w:hideMark/>
          </w:tcPr>
          <w:p w14:paraId="2DB7942C"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20.1%</w:t>
            </w:r>
          </w:p>
        </w:tc>
      </w:tr>
      <w:tr w:rsidR="00D96394" w:rsidRPr="00D96394" w14:paraId="5F1530A1" w14:textId="77777777" w:rsidTr="004231FB">
        <w:trPr>
          <w:trHeight w:val="300"/>
        </w:trPr>
        <w:tc>
          <w:tcPr>
            <w:tcW w:w="3596" w:type="dxa"/>
            <w:vMerge/>
            <w:tcBorders>
              <w:top w:val="nil"/>
              <w:left w:val="nil"/>
              <w:bottom w:val="single" w:sz="8" w:space="0" w:color="000000"/>
              <w:right w:val="nil"/>
            </w:tcBorders>
            <w:vAlign w:val="center"/>
            <w:hideMark/>
          </w:tcPr>
          <w:p w14:paraId="2B0B2C9D"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p>
        </w:tc>
        <w:tc>
          <w:tcPr>
            <w:tcW w:w="1243" w:type="dxa"/>
            <w:tcBorders>
              <w:top w:val="nil"/>
              <w:left w:val="nil"/>
              <w:bottom w:val="single" w:sz="8" w:space="0" w:color="auto"/>
              <w:right w:val="nil"/>
            </w:tcBorders>
            <w:noWrap/>
            <w:vAlign w:val="bottom"/>
            <w:hideMark/>
          </w:tcPr>
          <w:p w14:paraId="66BB4FAF"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TPS</w:t>
            </w:r>
          </w:p>
        </w:tc>
        <w:tc>
          <w:tcPr>
            <w:tcW w:w="941" w:type="dxa"/>
            <w:tcBorders>
              <w:top w:val="nil"/>
              <w:left w:val="nil"/>
              <w:bottom w:val="single" w:sz="8" w:space="0" w:color="auto"/>
              <w:right w:val="nil"/>
            </w:tcBorders>
            <w:noWrap/>
            <w:vAlign w:val="bottom"/>
            <w:hideMark/>
          </w:tcPr>
          <w:p w14:paraId="3AECE5CF"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78.3%</w:t>
            </w:r>
          </w:p>
        </w:tc>
        <w:tc>
          <w:tcPr>
            <w:tcW w:w="1820" w:type="dxa"/>
            <w:tcBorders>
              <w:top w:val="nil"/>
              <w:left w:val="nil"/>
              <w:bottom w:val="single" w:sz="8" w:space="0" w:color="auto"/>
              <w:right w:val="nil"/>
            </w:tcBorders>
            <w:noWrap/>
            <w:vAlign w:val="bottom"/>
            <w:hideMark/>
          </w:tcPr>
          <w:p w14:paraId="2D390BFE"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4.7%</w:t>
            </w:r>
          </w:p>
        </w:tc>
        <w:tc>
          <w:tcPr>
            <w:tcW w:w="1900" w:type="dxa"/>
            <w:vMerge/>
            <w:tcBorders>
              <w:top w:val="nil"/>
              <w:left w:val="nil"/>
              <w:bottom w:val="single" w:sz="8" w:space="0" w:color="000000"/>
              <w:right w:val="nil"/>
            </w:tcBorders>
            <w:vAlign w:val="center"/>
            <w:hideMark/>
          </w:tcPr>
          <w:p w14:paraId="008DE84B"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p>
        </w:tc>
      </w:tr>
      <w:tr w:rsidR="00D96394" w:rsidRPr="00D96394" w14:paraId="11B10A67" w14:textId="77777777" w:rsidTr="004231FB">
        <w:trPr>
          <w:trHeight w:val="300"/>
        </w:trPr>
        <w:tc>
          <w:tcPr>
            <w:tcW w:w="9500" w:type="dxa"/>
            <w:gridSpan w:val="5"/>
            <w:tcBorders>
              <w:top w:val="nil"/>
              <w:left w:val="nil"/>
              <w:bottom w:val="single" w:sz="8" w:space="0" w:color="auto"/>
              <w:right w:val="nil"/>
            </w:tcBorders>
            <w:noWrap/>
            <w:vAlign w:val="bottom"/>
            <w:hideMark/>
          </w:tcPr>
          <w:p w14:paraId="4AF770D9"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English Learners</w:t>
            </w:r>
          </w:p>
        </w:tc>
      </w:tr>
      <w:tr w:rsidR="00D96394" w:rsidRPr="00D96394" w14:paraId="09CC2DFC" w14:textId="77777777" w:rsidTr="004231FB">
        <w:trPr>
          <w:trHeight w:val="288"/>
        </w:trPr>
        <w:tc>
          <w:tcPr>
            <w:tcW w:w="3596" w:type="dxa"/>
            <w:vMerge w:val="restart"/>
            <w:tcBorders>
              <w:top w:val="nil"/>
              <w:left w:val="nil"/>
              <w:bottom w:val="nil"/>
              <w:right w:val="nil"/>
            </w:tcBorders>
            <w:noWrap/>
            <w:vAlign w:val="center"/>
            <w:hideMark/>
          </w:tcPr>
          <w:p w14:paraId="4FE8D587"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 xml:space="preserve">SAT/ACT PARTICIPATION RATE </w:t>
            </w:r>
          </w:p>
        </w:tc>
        <w:tc>
          <w:tcPr>
            <w:tcW w:w="1243" w:type="dxa"/>
            <w:tcBorders>
              <w:top w:val="nil"/>
              <w:left w:val="nil"/>
              <w:bottom w:val="nil"/>
              <w:right w:val="nil"/>
            </w:tcBorders>
            <w:noWrap/>
            <w:vAlign w:val="bottom"/>
            <w:hideMark/>
          </w:tcPr>
          <w:p w14:paraId="32547A27"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bottom"/>
            <w:hideMark/>
          </w:tcPr>
          <w:p w14:paraId="6DDF0966"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100.0%</w:t>
            </w:r>
          </w:p>
        </w:tc>
        <w:tc>
          <w:tcPr>
            <w:tcW w:w="1820" w:type="dxa"/>
            <w:tcBorders>
              <w:top w:val="nil"/>
              <w:left w:val="nil"/>
              <w:bottom w:val="nil"/>
              <w:right w:val="nil"/>
            </w:tcBorders>
            <w:noWrap/>
            <w:vAlign w:val="bottom"/>
            <w:hideMark/>
          </w:tcPr>
          <w:p w14:paraId="20788917"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0.0%</w:t>
            </w:r>
          </w:p>
        </w:tc>
        <w:tc>
          <w:tcPr>
            <w:tcW w:w="1900" w:type="dxa"/>
            <w:vMerge w:val="restart"/>
            <w:tcBorders>
              <w:top w:val="nil"/>
              <w:left w:val="nil"/>
              <w:bottom w:val="nil"/>
              <w:right w:val="nil"/>
            </w:tcBorders>
            <w:noWrap/>
            <w:vAlign w:val="center"/>
            <w:hideMark/>
          </w:tcPr>
          <w:p w14:paraId="4B2FF4B9"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8.5%</w:t>
            </w:r>
          </w:p>
        </w:tc>
      </w:tr>
      <w:tr w:rsidR="00D96394" w:rsidRPr="00D96394" w14:paraId="78349F7D" w14:textId="77777777" w:rsidTr="004231FB">
        <w:trPr>
          <w:trHeight w:val="288"/>
        </w:trPr>
        <w:tc>
          <w:tcPr>
            <w:tcW w:w="3596" w:type="dxa"/>
            <w:vMerge/>
            <w:tcBorders>
              <w:top w:val="nil"/>
              <w:left w:val="nil"/>
              <w:bottom w:val="nil"/>
              <w:right w:val="nil"/>
            </w:tcBorders>
            <w:vAlign w:val="center"/>
            <w:hideMark/>
          </w:tcPr>
          <w:p w14:paraId="790CC8AD"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p>
        </w:tc>
        <w:tc>
          <w:tcPr>
            <w:tcW w:w="1243" w:type="dxa"/>
            <w:tcBorders>
              <w:top w:val="nil"/>
              <w:left w:val="nil"/>
              <w:bottom w:val="nil"/>
              <w:right w:val="nil"/>
            </w:tcBorders>
            <w:noWrap/>
            <w:vAlign w:val="bottom"/>
            <w:hideMark/>
          </w:tcPr>
          <w:p w14:paraId="7A7B9486"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TPS</w:t>
            </w:r>
          </w:p>
        </w:tc>
        <w:tc>
          <w:tcPr>
            <w:tcW w:w="941" w:type="dxa"/>
            <w:tcBorders>
              <w:top w:val="nil"/>
              <w:left w:val="nil"/>
              <w:bottom w:val="nil"/>
              <w:right w:val="nil"/>
            </w:tcBorders>
            <w:noWrap/>
            <w:vAlign w:val="bottom"/>
            <w:hideMark/>
          </w:tcPr>
          <w:p w14:paraId="71FDC64C"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91.5%</w:t>
            </w:r>
          </w:p>
        </w:tc>
        <w:tc>
          <w:tcPr>
            <w:tcW w:w="1820" w:type="dxa"/>
            <w:tcBorders>
              <w:top w:val="nil"/>
              <w:left w:val="nil"/>
              <w:bottom w:val="nil"/>
              <w:right w:val="nil"/>
            </w:tcBorders>
            <w:noWrap/>
            <w:vAlign w:val="bottom"/>
            <w:hideMark/>
          </w:tcPr>
          <w:p w14:paraId="2FAD47EC"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6.4%</w:t>
            </w:r>
          </w:p>
        </w:tc>
        <w:tc>
          <w:tcPr>
            <w:tcW w:w="1900" w:type="dxa"/>
            <w:vMerge/>
            <w:tcBorders>
              <w:top w:val="nil"/>
              <w:left w:val="nil"/>
              <w:bottom w:val="nil"/>
              <w:right w:val="nil"/>
            </w:tcBorders>
            <w:vAlign w:val="center"/>
            <w:hideMark/>
          </w:tcPr>
          <w:p w14:paraId="25ACFB62"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p>
        </w:tc>
      </w:tr>
      <w:tr w:rsidR="00D96394" w:rsidRPr="00D96394" w14:paraId="0D9F3784" w14:textId="77777777" w:rsidTr="004231FB">
        <w:trPr>
          <w:trHeight w:val="288"/>
        </w:trPr>
        <w:tc>
          <w:tcPr>
            <w:tcW w:w="3596" w:type="dxa"/>
            <w:vMerge w:val="restart"/>
            <w:tcBorders>
              <w:top w:val="nil"/>
              <w:left w:val="nil"/>
              <w:bottom w:val="nil"/>
              <w:right w:val="nil"/>
            </w:tcBorders>
            <w:noWrap/>
            <w:vAlign w:val="center"/>
            <w:hideMark/>
          </w:tcPr>
          <w:p w14:paraId="15D763CB"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SAT/ACT CRITERION MET</w:t>
            </w:r>
          </w:p>
        </w:tc>
        <w:tc>
          <w:tcPr>
            <w:tcW w:w="1243" w:type="dxa"/>
            <w:tcBorders>
              <w:top w:val="nil"/>
              <w:left w:val="nil"/>
              <w:bottom w:val="nil"/>
              <w:right w:val="nil"/>
            </w:tcBorders>
            <w:noWrap/>
            <w:vAlign w:val="bottom"/>
            <w:hideMark/>
          </w:tcPr>
          <w:p w14:paraId="031C0D16"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bottom"/>
            <w:hideMark/>
          </w:tcPr>
          <w:p w14:paraId="662EAA28"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4.6%</w:t>
            </w:r>
          </w:p>
        </w:tc>
        <w:tc>
          <w:tcPr>
            <w:tcW w:w="1820" w:type="dxa"/>
            <w:tcBorders>
              <w:top w:val="nil"/>
              <w:left w:val="nil"/>
              <w:bottom w:val="nil"/>
              <w:right w:val="nil"/>
            </w:tcBorders>
            <w:noWrap/>
            <w:vAlign w:val="bottom"/>
            <w:hideMark/>
          </w:tcPr>
          <w:p w14:paraId="27429DF9"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2.6%</w:t>
            </w:r>
          </w:p>
        </w:tc>
        <w:tc>
          <w:tcPr>
            <w:tcW w:w="1900" w:type="dxa"/>
            <w:vMerge w:val="restart"/>
            <w:tcBorders>
              <w:top w:val="nil"/>
              <w:left w:val="nil"/>
              <w:bottom w:val="nil"/>
              <w:right w:val="nil"/>
            </w:tcBorders>
            <w:noWrap/>
            <w:vAlign w:val="center"/>
            <w:hideMark/>
          </w:tcPr>
          <w:p w14:paraId="41B310FB"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4.0%</w:t>
            </w:r>
          </w:p>
        </w:tc>
      </w:tr>
      <w:tr w:rsidR="00D96394" w:rsidRPr="00D96394" w14:paraId="126C77F0" w14:textId="77777777" w:rsidTr="004231FB">
        <w:trPr>
          <w:trHeight w:val="288"/>
        </w:trPr>
        <w:tc>
          <w:tcPr>
            <w:tcW w:w="3596" w:type="dxa"/>
            <w:vMerge/>
            <w:tcBorders>
              <w:top w:val="nil"/>
              <w:left w:val="nil"/>
              <w:bottom w:val="nil"/>
              <w:right w:val="nil"/>
            </w:tcBorders>
            <w:vAlign w:val="center"/>
            <w:hideMark/>
          </w:tcPr>
          <w:p w14:paraId="30217DA0"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p>
        </w:tc>
        <w:tc>
          <w:tcPr>
            <w:tcW w:w="1243" w:type="dxa"/>
            <w:tcBorders>
              <w:top w:val="nil"/>
              <w:left w:val="nil"/>
              <w:bottom w:val="nil"/>
              <w:right w:val="nil"/>
            </w:tcBorders>
            <w:noWrap/>
            <w:vAlign w:val="bottom"/>
            <w:hideMark/>
          </w:tcPr>
          <w:p w14:paraId="0FDD1F39"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TPS</w:t>
            </w:r>
          </w:p>
        </w:tc>
        <w:tc>
          <w:tcPr>
            <w:tcW w:w="941" w:type="dxa"/>
            <w:tcBorders>
              <w:top w:val="nil"/>
              <w:left w:val="nil"/>
              <w:bottom w:val="nil"/>
              <w:right w:val="nil"/>
            </w:tcBorders>
            <w:noWrap/>
            <w:vAlign w:val="bottom"/>
            <w:hideMark/>
          </w:tcPr>
          <w:p w14:paraId="310374BF"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0.6%</w:t>
            </w:r>
          </w:p>
        </w:tc>
        <w:tc>
          <w:tcPr>
            <w:tcW w:w="1820" w:type="dxa"/>
            <w:tcBorders>
              <w:top w:val="nil"/>
              <w:left w:val="nil"/>
              <w:bottom w:val="nil"/>
              <w:right w:val="nil"/>
            </w:tcBorders>
            <w:noWrap/>
            <w:vAlign w:val="bottom"/>
            <w:hideMark/>
          </w:tcPr>
          <w:p w14:paraId="6CA28F36"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0.8%</w:t>
            </w:r>
          </w:p>
        </w:tc>
        <w:tc>
          <w:tcPr>
            <w:tcW w:w="1900" w:type="dxa"/>
            <w:vMerge/>
            <w:tcBorders>
              <w:top w:val="nil"/>
              <w:left w:val="nil"/>
              <w:bottom w:val="nil"/>
              <w:right w:val="nil"/>
            </w:tcBorders>
            <w:vAlign w:val="center"/>
            <w:hideMark/>
          </w:tcPr>
          <w:p w14:paraId="335D03ED"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p>
        </w:tc>
      </w:tr>
      <w:tr w:rsidR="00D96394" w:rsidRPr="00D96394" w14:paraId="535B7A03" w14:textId="77777777" w:rsidTr="004231FB">
        <w:trPr>
          <w:trHeight w:val="288"/>
        </w:trPr>
        <w:tc>
          <w:tcPr>
            <w:tcW w:w="3596" w:type="dxa"/>
            <w:vMerge w:val="restart"/>
            <w:tcBorders>
              <w:top w:val="nil"/>
              <w:left w:val="nil"/>
              <w:bottom w:val="single" w:sz="8" w:space="0" w:color="000000"/>
              <w:right w:val="nil"/>
            </w:tcBorders>
            <w:noWrap/>
            <w:vAlign w:val="center"/>
            <w:hideMark/>
          </w:tcPr>
          <w:p w14:paraId="6641E7AF"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COLLEGE READY ONLY</w:t>
            </w:r>
          </w:p>
        </w:tc>
        <w:tc>
          <w:tcPr>
            <w:tcW w:w="1243" w:type="dxa"/>
            <w:tcBorders>
              <w:top w:val="nil"/>
              <w:left w:val="nil"/>
              <w:bottom w:val="nil"/>
              <w:right w:val="nil"/>
            </w:tcBorders>
            <w:noWrap/>
            <w:vAlign w:val="bottom"/>
            <w:hideMark/>
          </w:tcPr>
          <w:p w14:paraId="096218F1"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bottom"/>
            <w:hideMark/>
          </w:tcPr>
          <w:p w14:paraId="13638C67"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97.3%</w:t>
            </w:r>
          </w:p>
        </w:tc>
        <w:tc>
          <w:tcPr>
            <w:tcW w:w="1820" w:type="dxa"/>
            <w:tcBorders>
              <w:top w:val="nil"/>
              <w:left w:val="nil"/>
              <w:bottom w:val="nil"/>
              <w:right w:val="nil"/>
            </w:tcBorders>
            <w:noWrap/>
            <w:vAlign w:val="bottom"/>
            <w:hideMark/>
          </w:tcPr>
          <w:p w14:paraId="6D0DFD65"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2.9%</w:t>
            </w:r>
          </w:p>
        </w:tc>
        <w:tc>
          <w:tcPr>
            <w:tcW w:w="1900" w:type="dxa"/>
            <w:vMerge w:val="restart"/>
            <w:tcBorders>
              <w:top w:val="nil"/>
              <w:left w:val="nil"/>
              <w:bottom w:val="single" w:sz="8" w:space="0" w:color="000000"/>
              <w:right w:val="nil"/>
            </w:tcBorders>
            <w:noWrap/>
            <w:vAlign w:val="center"/>
            <w:hideMark/>
          </w:tcPr>
          <w:p w14:paraId="4CBEEB73"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22.5%</w:t>
            </w:r>
          </w:p>
        </w:tc>
      </w:tr>
      <w:tr w:rsidR="00D96394" w:rsidRPr="00D96394" w14:paraId="3DBA2700" w14:textId="77777777" w:rsidTr="004231FB">
        <w:trPr>
          <w:trHeight w:val="300"/>
        </w:trPr>
        <w:tc>
          <w:tcPr>
            <w:tcW w:w="3596" w:type="dxa"/>
            <w:vMerge/>
            <w:tcBorders>
              <w:top w:val="nil"/>
              <w:left w:val="nil"/>
              <w:bottom w:val="single" w:sz="8" w:space="0" w:color="000000"/>
              <w:right w:val="nil"/>
            </w:tcBorders>
            <w:vAlign w:val="center"/>
            <w:hideMark/>
          </w:tcPr>
          <w:p w14:paraId="776499C1"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p>
        </w:tc>
        <w:tc>
          <w:tcPr>
            <w:tcW w:w="1243" w:type="dxa"/>
            <w:tcBorders>
              <w:top w:val="nil"/>
              <w:left w:val="nil"/>
              <w:bottom w:val="single" w:sz="8" w:space="0" w:color="auto"/>
              <w:right w:val="nil"/>
            </w:tcBorders>
            <w:noWrap/>
            <w:vAlign w:val="bottom"/>
            <w:hideMark/>
          </w:tcPr>
          <w:p w14:paraId="696B8B0E"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TPS</w:t>
            </w:r>
          </w:p>
        </w:tc>
        <w:tc>
          <w:tcPr>
            <w:tcW w:w="941" w:type="dxa"/>
            <w:tcBorders>
              <w:top w:val="nil"/>
              <w:left w:val="nil"/>
              <w:bottom w:val="single" w:sz="8" w:space="0" w:color="auto"/>
              <w:right w:val="nil"/>
            </w:tcBorders>
            <w:noWrap/>
            <w:vAlign w:val="bottom"/>
            <w:hideMark/>
          </w:tcPr>
          <w:p w14:paraId="5DC2815C"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74.9%</w:t>
            </w:r>
          </w:p>
        </w:tc>
        <w:tc>
          <w:tcPr>
            <w:tcW w:w="1820" w:type="dxa"/>
            <w:tcBorders>
              <w:top w:val="nil"/>
              <w:left w:val="nil"/>
              <w:bottom w:val="single" w:sz="8" w:space="0" w:color="auto"/>
              <w:right w:val="nil"/>
            </w:tcBorders>
            <w:noWrap/>
            <w:vAlign w:val="bottom"/>
            <w:hideMark/>
          </w:tcPr>
          <w:p w14:paraId="09E98822"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5.6%</w:t>
            </w:r>
          </w:p>
        </w:tc>
        <w:tc>
          <w:tcPr>
            <w:tcW w:w="1900" w:type="dxa"/>
            <w:vMerge/>
            <w:tcBorders>
              <w:top w:val="nil"/>
              <w:left w:val="nil"/>
              <w:bottom w:val="single" w:sz="8" w:space="0" w:color="000000"/>
              <w:right w:val="nil"/>
            </w:tcBorders>
            <w:vAlign w:val="center"/>
            <w:hideMark/>
          </w:tcPr>
          <w:p w14:paraId="5F182E6E"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p>
        </w:tc>
      </w:tr>
      <w:tr w:rsidR="00D96394" w:rsidRPr="00D96394" w14:paraId="60823755" w14:textId="77777777" w:rsidTr="004231FB">
        <w:trPr>
          <w:trHeight w:val="300"/>
        </w:trPr>
        <w:tc>
          <w:tcPr>
            <w:tcW w:w="3596" w:type="dxa"/>
            <w:tcBorders>
              <w:top w:val="nil"/>
              <w:left w:val="nil"/>
              <w:bottom w:val="single" w:sz="8" w:space="0" w:color="auto"/>
              <w:right w:val="nil"/>
            </w:tcBorders>
            <w:noWrap/>
            <w:vAlign w:val="bottom"/>
            <w:hideMark/>
          </w:tcPr>
          <w:p w14:paraId="2976FA33"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Students with Disabilities</w:t>
            </w:r>
          </w:p>
        </w:tc>
        <w:tc>
          <w:tcPr>
            <w:tcW w:w="1243" w:type="dxa"/>
            <w:tcBorders>
              <w:top w:val="nil"/>
              <w:left w:val="nil"/>
              <w:bottom w:val="single" w:sz="8" w:space="0" w:color="auto"/>
              <w:right w:val="nil"/>
            </w:tcBorders>
            <w:noWrap/>
            <w:vAlign w:val="bottom"/>
            <w:hideMark/>
          </w:tcPr>
          <w:p w14:paraId="54695024"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 </w:t>
            </w:r>
          </w:p>
        </w:tc>
        <w:tc>
          <w:tcPr>
            <w:tcW w:w="941" w:type="dxa"/>
            <w:tcBorders>
              <w:top w:val="nil"/>
              <w:left w:val="nil"/>
              <w:bottom w:val="single" w:sz="8" w:space="0" w:color="auto"/>
              <w:right w:val="nil"/>
            </w:tcBorders>
            <w:noWrap/>
            <w:vAlign w:val="bottom"/>
            <w:hideMark/>
          </w:tcPr>
          <w:p w14:paraId="67345835"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 </w:t>
            </w:r>
          </w:p>
        </w:tc>
        <w:tc>
          <w:tcPr>
            <w:tcW w:w="1820" w:type="dxa"/>
            <w:tcBorders>
              <w:top w:val="nil"/>
              <w:left w:val="nil"/>
              <w:bottom w:val="single" w:sz="8" w:space="0" w:color="auto"/>
              <w:right w:val="nil"/>
            </w:tcBorders>
            <w:noWrap/>
            <w:vAlign w:val="bottom"/>
            <w:hideMark/>
          </w:tcPr>
          <w:p w14:paraId="5E28CF01"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 </w:t>
            </w:r>
          </w:p>
        </w:tc>
        <w:tc>
          <w:tcPr>
            <w:tcW w:w="1900" w:type="dxa"/>
            <w:tcBorders>
              <w:top w:val="nil"/>
              <w:left w:val="nil"/>
              <w:bottom w:val="single" w:sz="8" w:space="0" w:color="auto"/>
              <w:right w:val="nil"/>
            </w:tcBorders>
            <w:noWrap/>
            <w:vAlign w:val="bottom"/>
            <w:hideMark/>
          </w:tcPr>
          <w:p w14:paraId="5E9A4CD4"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 </w:t>
            </w:r>
          </w:p>
        </w:tc>
      </w:tr>
      <w:tr w:rsidR="00D96394" w:rsidRPr="00D96394" w14:paraId="6DED10C7" w14:textId="77777777" w:rsidTr="004231FB">
        <w:trPr>
          <w:trHeight w:val="288"/>
        </w:trPr>
        <w:tc>
          <w:tcPr>
            <w:tcW w:w="3596" w:type="dxa"/>
            <w:vMerge w:val="restart"/>
            <w:tcBorders>
              <w:top w:val="nil"/>
              <w:left w:val="nil"/>
              <w:bottom w:val="nil"/>
              <w:right w:val="nil"/>
            </w:tcBorders>
            <w:noWrap/>
            <w:vAlign w:val="bottom"/>
            <w:hideMark/>
          </w:tcPr>
          <w:p w14:paraId="7E919B4E"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 xml:space="preserve">SAT/ACT PARTICIPATION RATE </w:t>
            </w:r>
          </w:p>
        </w:tc>
        <w:tc>
          <w:tcPr>
            <w:tcW w:w="1243" w:type="dxa"/>
            <w:tcBorders>
              <w:top w:val="nil"/>
              <w:left w:val="nil"/>
              <w:bottom w:val="nil"/>
              <w:right w:val="nil"/>
            </w:tcBorders>
            <w:noWrap/>
            <w:vAlign w:val="bottom"/>
            <w:hideMark/>
          </w:tcPr>
          <w:p w14:paraId="330000F7"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center"/>
            <w:hideMark/>
          </w:tcPr>
          <w:p w14:paraId="2231C080"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100.0%</w:t>
            </w:r>
          </w:p>
        </w:tc>
        <w:tc>
          <w:tcPr>
            <w:tcW w:w="1820" w:type="dxa"/>
            <w:tcBorders>
              <w:top w:val="nil"/>
              <w:left w:val="nil"/>
              <w:bottom w:val="nil"/>
              <w:right w:val="nil"/>
            </w:tcBorders>
            <w:noWrap/>
            <w:vAlign w:val="center"/>
            <w:hideMark/>
          </w:tcPr>
          <w:p w14:paraId="69B2ADE3"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0.0%</w:t>
            </w:r>
          </w:p>
        </w:tc>
        <w:tc>
          <w:tcPr>
            <w:tcW w:w="1900" w:type="dxa"/>
            <w:vMerge w:val="restart"/>
            <w:tcBorders>
              <w:top w:val="nil"/>
              <w:left w:val="nil"/>
              <w:bottom w:val="nil"/>
              <w:right w:val="nil"/>
            </w:tcBorders>
            <w:noWrap/>
            <w:vAlign w:val="center"/>
            <w:hideMark/>
          </w:tcPr>
          <w:p w14:paraId="06C5D0EF"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27.3%</w:t>
            </w:r>
          </w:p>
        </w:tc>
      </w:tr>
      <w:tr w:rsidR="00D96394" w:rsidRPr="00D96394" w14:paraId="5E4E03BE" w14:textId="77777777" w:rsidTr="004231FB">
        <w:trPr>
          <w:trHeight w:val="288"/>
        </w:trPr>
        <w:tc>
          <w:tcPr>
            <w:tcW w:w="3596" w:type="dxa"/>
            <w:vMerge/>
            <w:tcBorders>
              <w:top w:val="nil"/>
              <w:left w:val="nil"/>
              <w:bottom w:val="nil"/>
              <w:right w:val="nil"/>
            </w:tcBorders>
            <w:vAlign w:val="center"/>
            <w:hideMark/>
          </w:tcPr>
          <w:p w14:paraId="3AA985B9"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p>
        </w:tc>
        <w:tc>
          <w:tcPr>
            <w:tcW w:w="1243" w:type="dxa"/>
            <w:tcBorders>
              <w:top w:val="nil"/>
              <w:left w:val="nil"/>
              <w:bottom w:val="nil"/>
              <w:right w:val="nil"/>
            </w:tcBorders>
            <w:noWrap/>
            <w:vAlign w:val="bottom"/>
            <w:hideMark/>
          </w:tcPr>
          <w:p w14:paraId="147BE58C"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TPS</w:t>
            </w:r>
          </w:p>
        </w:tc>
        <w:tc>
          <w:tcPr>
            <w:tcW w:w="941" w:type="dxa"/>
            <w:tcBorders>
              <w:top w:val="nil"/>
              <w:left w:val="nil"/>
              <w:bottom w:val="nil"/>
              <w:right w:val="nil"/>
            </w:tcBorders>
            <w:noWrap/>
            <w:vAlign w:val="center"/>
            <w:hideMark/>
          </w:tcPr>
          <w:p w14:paraId="7021EF71"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72.7%</w:t>
            </w:r>
          </w:p>
        </w:tc>
        <w:tc>
          <w:tcPr>
            <w:tcW w:w="1820" w:type="dxa"/>
            <w:tcBorders>
              <w:top w:val="nil"/>
              <w:left w:val="nil"/>
              <w:bottom w:val="nil"/>
              <w:right w:val="nil"/>
            </w:tcBorders>
            <w:noWrap/>
            <w:vAlign w:val="center"/>
            <w:hideMark/>
          </w:tcPr>
          <w:p w14:paraId="60EBBC1B"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5.4%</w:t>
            </w:r>
          </w:p>
        </w:tc>
        <w:tc>
          <w:tcPr>
            <w:tcW w:w="1900" w:type="dxa"/>
            <w:vMerge/>
            <w:tcBorders>
              <w:top w:val="nil"/>
              <w:left w:val="nil"/>
              <w:bottom w:val="nil"/>
              <w:right w:val="nil"/>
            </w:tcBorders>
            <w:vAlign w:val="center"/>
            <w:hideMark/>
          </w:tcPr>
          <w:p w14:paraId="4E9C53F7"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p>
        </w:tc>
      </w:tr>
      <w:tr w:rsidR="00D96394" w:rsidRPr="00D96394" w14:paraId="3BDDA86E" w14:textId="77777777" w:rsidTr="004231FB">
        <w:trPr>
          <w:trHeight w:val="288"/>
        </w:trPr>
        <w:tc>
          <w:tcPr>
            <w:tcW w:w="3596" w:type="dxa"/>
            <w:vMerge w:val="restart"/>
            <w:tcBorders>
              <w:top w:val="nil"/>
              <w:left w:val="nil"/>
              <w:bottom w:val="nil"/>
              <w:right w:val="nil"/>
            </w:tcBorders>
            <w:noWrap/>
            <w:vAlign w:val="bottom"/>
            <w:hideMark/>
          </w:tcPr>
          <w:p w14:paraId="71F28821"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SAT/ACT CRITERION MET</w:t>
            </w:r>
          </w:p>
        </w:tc>
        <w:tc>
          <w:tcPr>
            <w:tcW w:w="1243" w:type="dxa"/>
            <w:tcBorders>
              <w:top w:val="nil"/>
              <w:left w:val="nil"/>
              <w:bottom w:val="nil"/>
              <w:right w:val="nil"/>
            </w:tcBorders>
            <w:noWrap/>
            <w:vAlign w:val="bottom"/>
            <w:hideMark/>
          </w:tcPr>
          <w:p w14:paraId="005D60B7"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center"/>
            <w:hideMark/>
          </w:tcPr>
          <w:p w14:paraId="1953F060"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1.3%</w:t>
            </w:r>
          </w:p>
        </w:tc>
        <w:tc>
          <w:tcPr>
            <w:tcW w:w="1820" w:type="dxa"/>
            <w:tcBorders>
              <w:top w:val="nil"/>
              <w:left w:val="nil"/>
              <w:bottom w:val="nil"/>
              <w:right w:val="nil"/>
            </w:tcBorders>
            <w:noWrap/>
            <w:vAlign w:val="center"/>
            <w:hideMark/>
          </w:tcPr>
          <w:p w14:paraId="44394694"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0.0%</w:t>
            </w:r>
          </w:p>
        </w:tc>
        <w:tc>
          <w:tcPr>
            <w:tcW w:w="1900" w:type="dxa"/>
            <w:vMerge w:val="restart"/>
            <w:tcBorders>
              <w:top w:val="nil"/>
              <w:left w:val="nil"/>
              <w:bottom w:val="nil"/>
              <w:right w:val="nil"/>
            </w:tcBorders>
            <w:noWrap/>
            <w:vAlign w:val="center"/>
            <w:hideMark/>
          </w:tcPr>
          <w:p w14:paraId="64556A58"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-0.1%</w:t>
            </w:r>
          </w:p>
        </w:tc>
      </w:tr>
      <w:tr w:rsidR="00D96394" w:rsidRPr="00D96394" w14:paraId="45927A55" w14:textId="77777777" w:rsidTr="004231FB">
        <w:trPr>
          <w:trHeight w:val="288"/>
        </w:trPr>
        <w:tc>
          <w:tcPr>
            <w:tcW w:w="3596" w:type="dxa"/>
            <w:vMerge/>
            <w:tcBorders>
              <w:top w:val="nil"/>
              <w:left w:val="nil"/>
              <w:bottom w:val="nil"/>
              <w:right w:val="nil"/>
            </w:tcBorders>
            <w:vAlign w:val="center"/>
            <w:hideMark/>
          </w:tcPr>
          <w:p w14:paraId="41936478"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p>
        </w:tc>
        <w:tc>
          <w:tcPr>
            <w:tcW w:w="1243" w:type="dxa"/>
            <w:tcBorders>
              <w:top w:val="nil"/>
              <w:left w:val="nil"/>
              <w:bottom w:val="nil"/>
              <w:right w:val="nil"/>
            </w:tcBorders>
            <w:noWrap/>
            <w:vAlign w:val="bottom"/>
            <w:hideMark/>
          </w:tcPr>
          <w:p w14:paraId="4E8227A2"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TPS</w:t>
            </w:r>
          </w:p>
        </w:tc>
        <w:tc>
          <w:tcPr>
            <w:tcW w:w="941" w:type="dxa"/>
            <w:tcBorders>
              <w:top w:val="nil"/>
              <w:left w:val="nil"/>
              <w:bottom w:val="nil"/>
              <w:right w:val="nil"/>
            </w:tcBorders>
            <w:noWrap/>
            <w:vAlign w:val="center"/>
            <w:hideMark/>
          </w:tcPr>
          <w:p w14:paraId="72375C19"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1.3%</w:t>
            </w:r>
          </w:p>
        </w:tc>
        <w:tc>
          <w:tcPr>
            <w:tcW w:w="1820" w:type="dxa"/>
            <w:tcBorders>
              <w:top w:val="nil"/>
              <w:left w:val="nil"/>
              <w:bottom w:val="nil"/>
              <w:right w:val="nil"/>
            </w:tcBorders>
            <w:noWrap/>
            <w:vAlign w:val="center"/>
            <w:hideMark/>
          </w:tcPr>
          <w:p w14:paraId="50D51AA6"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5.4%</w:t>
            </w:r>
          </w:p>
        </w:tc>
        <w:tc>
          <w:tcPr>
            <w:tcW w:w="1900" w:type="dxa"/>
            <w:vMerge/>
            <w:tcBorders>
              <w:top w:val="nil"/>
              <w:left w:val="nil"/>
              <w:bottom w:val="nil"/>
              <w:right w:val="nil"/>
            </w:tcBorders>
            <w:vAlign w:val="center"/>
            <w:hideMark/>
          </w:tcPr>
          <w:p w14:paraId="1A6C3DFB" w14:textId="77777777" w:rsidR="00D96394" w:rsidRPr="00D96394" w:rsidRDefault="00D96394" w:rsidP="00D96394">
            <w:pPr>
              <w:spacing w:after="0" w:line="240" w:lineRule="auto"/>
              <w:rPr>
                <w:rFonts w:ascii="Times New Roman" w:eastAsia="Times New Roman" w:hAnsi="Times New Roman" w:cs="Times New Roman"/>
                <w:b/>
                <w:bCs/>
                <w:color w:val="000000"/>
                <w:kern w:val="0"/>
                <w:sz w:val="22"/>
                <w:szCs w:val="22"/>
                <w14:ligatures w14:val="none"/>
              </w:rPr>
            </w:pPr>
          </w:p>
        </w:tc>
      </w:tr>
      <w:tr w:rsidR="00D96394" w:rsidRPr="00D96394" w14:paraId="2E81FB37" w14:textId="77777777" w:rsidTr="004231FB">
        <w:trPr>
          <w:trHeight w:val="288"/>
        </w:trPr>
        <w:tc>
          <w:tcPr>
            <w:tcW w:w="3596" w:type="dxa"/>
            <w:vMerge w:val="restart"/>
            <w:tcBorders>
              <w:top w:val="nil"/>
              <w:left w:val="nil"/>
              <w:bottom w:val="single" w:sz="4" w:space="0" w:color="000000"/>
              <w:right w:val="nil"/>
            </w:tcBorders>
            <w:noWrap/>
            <w:vAlign w:val="bottom"/>
            <w:hideMark/>
          </w:tcPr>
          <w:p w14:paraId="1F6BF8E8" w14:textId="77777777" w:rsidR="00D96394" w:rsidRPr="00D96394" w:rsidRDefault="00D96394" w:rsidP="00D96394">
            <w:pPr>
              <w:spacing w:after="0" w:line="240" w:lineRule="auto"/>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COLLEGE READY ONLY</w:t>
            </w:r>
          </w:p>
        </w:tc>
        <w:tc>
          <w:tcPr>
            <w:tcW w:w="1243" w:type="dxa"/>
            <w:tcBorders>
              <w:top w:val="nil"/>
              <w:left w:val="nil"/>
              <w:bottom w:val="nil"/>
              <w:right w:val="nil"/>
            </w:tcBorders>
            <w:noWrap/>
            <w:vAlign w:val="bottom"/>
            <w:hideMark/>
          </w:tcPr>
          <w:p w14:paraId="0C389096"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CHARTER</w:t>
            </w:r>
          </w:p>
        </w:tc>
        <w:tc>
          <w:tcPr>
            <w:tcW w:w="941" w:type="dxa"/>
            <w:tcBorders>
              <w:top w:val="nil"/>
              <w:left w:val="nil"/>
              <w:bottom w:val="nil"/>
              <w:right w:val="nil"/>
            </w:tcBorders>
            <w:noWrap/>
            <w:vAlign w:val="center"/>
            <w:hideMark/>
          </w:tcPr>
          <w:p w14:paraId="710F75B9"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96.9%</w:t>
            </w:r>
          </w:p>
        </w:tc>
        <w:tc>
          <w:tcPr>
            <w:tcW w:w="1820" w:type="dxa"/>
            <w:tcBorders>
              <w:top w:val="nil"/>
              <w:left w:val="nil"/>
              <w:bottom w:val="nil"/>
              <w:right w:val="nil"/>
            </w:tcBorders>
            <w:noWrap/>
            <w:vAlign w:val="center"/>
            <w:hideMark/>
          </w:tcPr>
          <w:p w14:paraId="792432FD" w14:textId="77777777" w:rsidR="00D96394" w:rsidRPr="00D96394" w:rsidRDefault="00D96394" w:rsidP="00D96394">
            <w:pPr>
              <w:spacing w:after="0" w:line="240" w:lineRule="auto"/>
              <w:jc w:val="center"/>
              <w:rPr>
                <w:rFonts w:ascii="Times New Roman" w:eastAsia="Times New Roman" w:hAnsi="Times New Roman" w:cs="Times New Roman"/>
                <w:color w:val="000000"/>
                <w:kern w:val="0"/>
                <w:sz w:val="22"/>
                <w:szCs w:val="22"/>
                <w14:ligatures w14:val="none"/>
              </w:rPr>
            </w:pPr>
            <w:r w:rsidRPr="00D96394">
              <w:rPr>
                <w:rFonts w:ascii="Times New Roman" w:eastAsia="Times New Roman" w:hAnsi="Times New Roman" w:cs="Times New Roman"/>
                <w:color w:val="000000"/>
                <w:kern w:val="0"/>
                <w:sz w:val="22"/>
                <w:szCs w:val="22"/>
                <w14:ligatures w14:val="none"/>
              </w:rPr>
              <w:t>6.9%</w:t>
            </w:r>
          </w:p>
        </w:tc>
        <w:tc>
          <w:tcPr>
            <w:tcW w:w="1900" w:type="dxa"/>
            <w:vMerge w:val="restart"/>
            <w:tcBorders>
              <w:top w:val="nil"/>
              <w:left w:val="nil"/>
              <w:bottom w:val="single" w:sz="4" w:space="0" w:color="000000"/>
              <w:right w:val="nil"/>
            </w:tcBorders>
            <w:noWrap/>
            <w:vAlign w:val="center"/>
            <w:hideMark/>
          </w:tcPr>
          <w:p w14:paraId="7CC50C9E" w14:textId="77777777" w:rsidR="00D96394" w:rsidRPr="00D96394" w:rsidRDefault="00D96394" w:rsidP="00D96394">
            <w:pPr>
              <w:spacing w:after="0" w:line="240" w:lineRule="auto"/>
              <w:jc w:val="center"/>
              <w:rPr>
                <w:rFonts w:ascii="Times New Roman" w:eastAsia="Times New Roman" w:hAnsi="Times New Roman" w:cs="Times New Roman"/>
                <w:b/>
                <w:bCs/>
                <w:color w:val="000000"/>
                <w:kern w:val="0"/>
                <w:sz w:val="22"/>
                <w:szCs w:val="22"/>
                <w14:ligatures w14:val="none"/>
              </w:rPr>
            </w:pPr>
            <w:r w:rsidRPr="00D96394">
              <w:rPr>
                <w:rFonts w:ascii="Times New Roman" w:eastAsia="Times New Roman" w:hAnsi="Times New Roman" w:cs="Times New Roman"/>
                <w:b/>
                <w:bCs/>
                <w:color w:val="000000"/>
                <w:kern w:val="0"/>
                <w:sz w:val="22"/>
                <w:szCs w:val="22"/>
                <w14:ligatures w14:val="none"/>
              </w:rPr>
              <w:t>23.5%</w:t>
            </w:r>
          </w:p>
        </w:tc>
      </w:tr>
      <w:tr w:rsidR="00D96394" w:rsidRPr="00D96394" w14:paraId="0C2B3D8A" w14:textId="77777777" w:rsidTr="004231FB">
        <w:trPr>
          <w:trHeight w:val="288"/>
        </w:trPr>
        <w:tc>
          <w:tcPr>
            <w:tcW w:w="3596" w:type="dxa"/>
            <w:vMerge/>
            <w:tcBorders>
              <w:top w:val="nil"/>
              <w:left w:val="nil"/>
              <w:bottom w:val="single" w:sz="4" w:space="0" w:color="000000"/>
              <w:right w:val="nil"/>
            </w:tcBorders>
            <w:vAlign w:val="center"/>
            <w:hideMark/>
          </w:tcPr>
          <w:p w14:paraId="4B8F4386" w14:textId="77777777" w:rsidR="00D96394" w:rsidRPr="00D96394" w:rsidRDefault="00D96394" w:rsidP="00D96394">
            <w:pPr>
              <w:spacing w:after="0" w:line="240" w:lineRule="auto"/>
              <w:rPr>
                <w:rFonts w:ascii="Aptos Narrow" w:eastAsia="Times New Roman" w:hAnsi="Aptos Narrow" w:cs="Times New Roman"/>
                <w:color w:val="000000"/>
                <w:kern w:val="0"/>
                <w:sz w:val="22"/>
                <w:szCs w:val="22"/>
                <w14:ligatures w14:val="none"/>
              </w:rPr>
            </w:pPr>
          </w:p>
        </w:tc>
        <w:tc>
          <w:tcPr>
            <w:tcW w:w="1243" w:type="dxa"/>
            <w:tcBorders>
              <w:top w:val="nil"/>
              <w:left w:val="nil"/>
              <w:bottom w:val="single" w:sz="4" w:space="0" w:color="auto"/>
              <w:right w:val="nil"/>
            </w:tcBorders>
            <w:noWrap/>
            <w:vAlign w:val="bottom"/>
            <w:hideMark/>
          </w:tcPr>
          <w:p w14:paraId="521E3DA7" w14:textId="77777777" w:rsidR="00D96394" w:rsidRPr="00D96394" w:rsidRDefault="00D96394" w:rsidP="00D96394">
            <w:pPr>
              <w:spacing w:after="0" w:line="240" w:lineRule="auto"/>
              <w:jc w:val="center"/>
              <w:rPr>
                <w:rFonts w:ascii="Aptos Narrow" w:eastAsia="Times New Roman" w:hAnsi="Aptos Narrow" w:cs="Times New Roman"/>
                <w:color w:val="000000"/>
                <w:kern w:val="0"/>
                <w:sz w:val="22"/>
                <w:szCs w:val="22"/>
                <w14:ligatures w14:val="none"/>
              </w:rPr>
            </w:pPr>
            <w:r w:rsidRPr="00D96394">
              <w:rPr>
                <w:rFonts w:ascii="Aptos Narrow" w:eastAsia="Times New Roman" w:hAnsi="Aptos Narrow" w:cs="Times New Roman"/>
                <w:color w:val="000000"/>
                <w:kern w:val="0"/>
                <w:sz w:val="22"/>
                <w:szCs w:val="22"/>
                <w14:ligatures w14:val="none"/>
              </w:rPr>
              <w:t>TPS</w:t>
            </w:r>
          </w:p>
        </w:tc>
        <w:tc>
          <w:tcPr>
            <w:tcW w:w="941" w:type="dxa"/>
            <w:tcBorders>
              <w:top w:val="nil"/>
              <w:left w:val="nil"/>
              <w:bottom w:val="single" w:sz="4" w:space="0" w:color="auto"/>
              <w:right w:val="nil"/>
            </w:tcBorders>
            <w:noWrap/>
            <w:vAlign w:val="center"/>
            <w:hideMark/>
          </w:tcPr>
          <w:p w14:paraId="6D2FFE91" w14:textId="77777777" w:rsidR="00D96394" w:rsidRPr="00D96394" w:rsidRDefault="00D96394" w:rsidP="00D96394">
            <w:pPr>
              <w:spacing w:after="0" w:line="240" w:lineRule="auto"/>
              <w:jc w:val="center"/>
              <w:rPr>
                <w:rFonts w:ascii="Aptos Narrow" w:eastAsia="Times New Roman" w:hAnsi="Aptos Narrow" w:cs="Times New Roman"/>
                <w:color w:val="000000"/>
                <w:kern w:val="0"/>
                <w:sz w:val="22"/>
                <w:szCs w:val="22"/>
                <w14:ligatures w14:val="none"/>
              </w:rPr>
            </w:pPr>
            <w:r w:rsidRPr="00D96394">
              <w:rPr>
                <w:rFonts w:ascii="Aptos Narrow" w:eastAsia="Times New Roman" w:hAnsi="Aptos Narrow" w:cs="Times New Roman"/>
                <w:color w:val="000000"/>
                <w:kern w:val="0"/>
                <w:sz w:val="22"/>
                <w:szCs w:val="22"/>
                <w14:ligatures w14:val="none"/>
              </w:rPr>
              <w:t>73.4%</w:t>
            </w:r>
          </w:p>
        </w:tc>
        <w:tc>
          <w:tcPr>
            <w:tcW w:w="1820" w:type="dxa"/>
            <w:tcBorders>
              <w:top w:val="nil"/>
              <w:left w:val="nil"/>
              <w:bottom w:val="single" w:sz="4" w:space="0" w:color="auto"/>
              <w:right w:val="nil"/>
            </w:tcBorders>
            <w:noWrap/>
            <w:vAlign w:val="center"/>
            <w:hideMark/>
          </w:tcPr>
          <w:p w14:paraId="6545E4C7" w14:textId="77777777" w:rsidR="00D96394" w:rsidRPr="00D96394" w:rsidRDefault="00D96394" w:rsidP="00D96394">
            <w:pPr>
              <w:spacing w:after="0" w:line="240" w:lineRule="auto"/>
              <w:jc w:val="center"/>
              <w:rPr>
                <w:rFonts w:ascii="Aptos Narrow" w:eastAsia="Times New Roman" w:hAnsi="Aptos Narrow" w:cs="Times New Roman"/>
                <w:color w:val="000000"/>
                <w:kern w:val="0"/>
                <w:sz w:val="22"/>
                <w:szCs w:val="22"/>
                <w14:ligatures w14:val="none"/>
              </w:rPr>
            </w:pPr>
            <w:r w:rsidRPr="00D96394">
              <w:rPr>
                <w:rFonts w:ascii="Aptos Narrow" w:eastAsia="Times New Roman" w:hAnsi="Aptos Narrow" w:cs="Times New Roman"/>
                <w:color w:val="000000"/>
                <w:kern w:val="0"/>
                <w:sz w:val="22"/>
                <w:szCs w:val="22"/>
                <w14:ligatures w14:val="none"/>
              </w:rPr>
              <w:t>16.3%</w:t>
            </w:r>
          </w:p>
        </w:tc>
        <w:tc>
          <w:tcPr>
            <w:tcW w:w="1900" w:type="dxa"/>
            <w:vMerge/>
            <w:tcBorders>
              <w:top w:val="nil"/>
              <w:left w:val="nil"/>
              <w:bottom w:val="single" w:sz="4" w:space="0" w:color="000000"/>
              <w:right w:val="nil"/>
            </w:tcBorders>
            <w:vAlign w:val="center"/>
            <w:hideMark/>
          </w:tcPr>
          <w:p w14:paraId="456699E8" w14:textId="77777777" w:rsidR="00D96394" w:rsidRPr="00D96394" w:rsidRDefault="00D96394" w:rsidP="00D96394">
            <w:pPr>
              <w:spacing w:after="0" w:line="240" w:lineRule="auto"/>
              <w:rPr>
                <w:rFonts w:ascii="Aptos Narrow" w:eastAsia="Times New Roman" w:hAnsi="Aptos Narrow" w:cs="Times New Roman"/>
                <w:b/>
                <w:bCs/>
                <w:color w:val="000000"/>
                <w:kern w:val="0"/>
                <w:sz w:val="22"/>
                <w:szCs w:val="22"/>
                <w14:ligatures w14:val="none"/>
              </w:rPr>
            </w:pPr>
          </w:p>
        </w:tc>
      </w:tr>
    </w:tbl>
    <w:p w14:paraId="063A19FE" w14:textId="77777777" w:rsidR="004231FB" w:rsidRPr="004231FB" w:rsidRDefault="004231FB" w:rsidP="004231FB">
      <w:pPr>
        <w:rPr>
          <w:rFonts w:ascii="Times New Roman" w:hAnsi="Times New Roman" w:cs="Times New Roman"/>
        </w:rPr>
      </w:pPr>
      <w:r w:rsidRPr="004231FB">
        <w:rPr>
          <w:rFonts w:ascii="Times New Roman" w:hAnsi="Times New Roman" w:cs="Times New Roman"/>
          <w:i/>
          <w:iCs/>
        </w:rPr>
        <w:t>Note:</w:t>
      </w:r>
      <w:r w:rsidRPr="004231FB">
        <w:rPr>
          <w:rFonts w:ascii="Times New Roman" w:hAnsi="Times New Roman" w:cs="Times New Roman"/>
        </w:rPr>
        <w:t xml:space="preserve"> Traditional Public Schools = TPS </w:t>
      </w:r>
    </w:p>
    <w:p w14:paraId="7566A003" w14:textId="77777777" w:rsidR="00DA1D1B" w:rsidRDefault="00DA1D1B" w:rsidP="004231FB">
      <w:pPr>
        <w:rPr>
          <w:rFonts w:ascii="Times New Roman" w:hAnsi="Times New Roman" w:cs="Times New Roman"/>
        </w:rPr>
      </w:pPr>
    </w:p>
    <w:p w14:paraId="3C9B9A34" w14:textId="77777777" w:rsidR="00DA1D1B" w:rsidRDefault="00DA1D1B" w:rsidP="00FE6E33">
      <w:pPr>
        <w:jc w:val="center"/>
        <w:rPr>
          <w:rFonts w:ascii="Times New Roman" w:hAnsi="Times New Roman" w:cs="Times New Roman"/>
        </w:rPr>
      </w:pPr>
    </w:p>
    <w:p w14:paraId="2C03674F" w14:textId="77777777" w:rsidR="00D96394" w:rsidRDefault="00D96394" w:rsidP="00FE6E33">
      <w:pPr>
        <w:jc w:val="center"/>
        <w:rPr>
          <w:rFonts w:ascii="Times New Roman" w:hAnsi="Times New Roman" w:cs="Times New Roman"/>
        </w:rPr>
      </w:pPr>
    </w:p>
    <w:p w14:paraId="0577EB43" w14:textId="77777777" w:rsidR="00D96394" w:rsidRDefault="00D96394" w:rsidP="00FE6E33">
      <w:pPr>
        <w:jc w:val="center"/>
        <w:rPr>
          <w:rFonts w:ascii="Times New Roman" w:hAnsi="Times New Roman" w:cs="Times New Roman"/>
        </w:rPr>
      </w:pPr>
    </w:p>
    <w:p w14:paraId="485AC5F6" w14:textId="77777777" w:rsidR="00A704A0" w:rsidRDefault="00A704A0" w:rsidP="00FE6E33">
      <w:pPr>
        <w:jc w:val="center"/>
        <w:rPr>
          <w:rFonts w:ascii="Times New Roman" w:hAnsi="Times New Roman" w:cs="Times New Roman"/>
        </w:rPr>
      </w:pPr>
    </w:p>
    <w:p w14:paraId="5C3BB881" w14:textId="77777777" w:rsidR="00D96394" w:rsidRPr="00A77E6C" w:rsidRDefault="00D96394" w:rsidP="004231FB">
      <w:pPr>
        <w:rPr>
          <w:rFonts w:ascii="Times New Roman" w:hAnsi="Times New Roman" w:cs="Times New Roman"/>
          <w:b/>
          <w:bCs/>
        </w:rPr>
      </w:pPr>
    </w:p>
    <w:p w14:paraId="07C6A94A" w14:textId="455881EB" w:rsidR="00D96394" w:rsidRPr="00A77E6C" w:rsidRDefault="00D96394" w:rsidP="00FE6E33">
      <w:pPr>
        <w:jc w:val="center"/>
        <w:rPr>
          <w:rFonts w:ascii="Times New Roman" w:hAnsi="Times New Roman" w:cs="Times New Roman"/>
          <w:b/>
          <w:bCs/>
        </w:rPr>
      </w:pPr>
      <w:r w:rsidRPr="00A77E6C">
        <w:rPr>
          <w:rFonts w:ascii="Times New Roman" w:hAnsi="Times New Roman" w:cs="Times New Roman"/>
          <w:b/>
          <w:bCs/>
        </w:rPr>
        <w:lastRenderedPageBreak/>
        <w:t>Appendix B</w:t>
      </w:r>
    </w:p>
    <w:p w14:paraId="28AE4990" w14:textId="517D36B1" w:rsidR="00D96394" w:rsidRDefault="00D96394" w:rsidP="00D96394">
      <w:pPr>
        <w:rPr>
          <w:rFonts w:ascii="Times New Roman" w:hAnsi="Times New Roman" w:cs="Times New Roman"/>
        </w:rPr>
      </w:pPr>
      <w:r>
        <w:rPr>
          <w:rFonts w:ascii="Times New Roman" w:hAnsi="Times New Roman" w:cs="Times New Roman"/>
        </w:rPr>
        <w:t>Figure 1A: Percent of Students Who Met the State SAT/ACT Criterion</w:t>
      </w:r>
    </w:p>
    <w:p w14:paraId="214D9192" w14:textId="40AF2C70" w:rsidR="00D96394" w:rsidRDefault="00905092" w:rsidP="00D96394">
      <w:pPr>
        <w:rPr>
          <w:rFonts w:ascii="Times New Roman" w:hAnsi="Times New Roman" w:cs="Times New Roman"/>
        </w:rPr>
      </w:pPr>
      <w:r>
        <w:rPr>
          <w:noProof/>
        </w:rPr>
        <w:drawing>
          <wp:inline distT="0" distB="0" distL="0" distR="0" wp14:anchorId="1B48A127" wp14:editId="32DE865A">
            <wp:extent cx="5166360" cy="4038600"/>
            <wp:effectExtent l="0" t="0" r="15240" b="0"/>
            <wp:docPr id="1987463105" name="Chart 1">
              <a:extLst xmlns:a="http://schemas.openxmlformats.org/drawingml/2006/main">
                <a:ext uri="{FF2B5EF4-FFF2-40B4-BE49-F238E27FC236}">
                  <a16:creationId xmlns:a16="http://schemas.microsoft.com/office/drawing/2014/main" id="{B8B4F083-E1E1-4F4B-9021-E9A3E21E3E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3AF952A" w14:textId="77777777" w:rsidR="004231FB" w:rsidRPr="004231FB" w:rsidRDefault="004231FB" w:rsidP="004231FB">
      <w:pPr>
        <w:rPr>
          <w:rFonts w:ascii="Times New Roman" w:hAnsi="Times New Roman" w:cs="Times New Roman"/>
        </w:rPr>
      </w:pPr>
      <w:r w:rsidRPr="004231FB">
        <w:rPr>
          <w:rFonts w:ascii="Times New Roman" w:hAnsi="Times New Roman" w:cs="Times New Roman"/>
          <w:i/>
          <w:iCs/>
        </w:rPr>
        <w:t>Note:</w:t>
      </w:r>
      <w:r w:rsidRPr="004231FB">
        <w:rPr>
          <w:rFonts w:ascii="Times New Roman" w:hAnsi="Times New Roman" w:cs="Times New Roman"/>
        </w:rPr>
        <w:t xml:space="preserve"> Traditional Public Schools = TPS </w:t>
      </w:r>
    </w:p>
    <w:p w14:paraId="7756B01F" w14:textId="77777777" w:rsidR="004231FB" w:rsidRDefault="004231FB" w:rsidP="00D96394">
      <w:pPr>
        <w:rPr>
          <w:rFonts w:ascii="Times New Roman" w:hAnsi="Times New Roman" w:cs="Times New Roman"/>
        </w:rPr>
      </w:pPr>
    </w:p>
    <w:p w14:paraId="742E2BCD" w14:textId="77777777" w:rsidR="004231FB" w:rsidRDefault="004231FB" w:rsidP="00D96394">
      <w:pPr>
        <w:rPr>
          <w:rFonts w:ascii="Times New Roman" w:hAnsi="Times New Roman" w:cs="Times New Roman"/>
        </w:rPr>
      </w:pPr>
    </w:p>
    <w:p w14:paraId="563E28DF" w14:textId="77777777" w:rsidR="004231FB" w:rsidRDefault="004231FB" w:rsidP="00D96394">
      <w:pPr>
        <w:rPr>
          <w:rFonts w:ascii="Times New Roman" w:hAnsi="Times New Roman" w:cs="Times New Roman"/>
        </w:rPr>
      </w:pPr>
    </w:p>
    <w:p w14:paraId="4EA293C0" w14:textId="77777777" w:rsidR="004231FB" w:rsidRDefault="004231FB" w:rsidP="00D96394">
      <w:pPr>
        <w:rPr>
          <w:rFonts w:ascii="Times New Roman" w:hAnsi="Times New Roman" w:cs="Times New Roman"/>
        </w:rPr>
      </w:pPr>
    </w:p>
    <w:p w14:paraId="18F1760E" w14:textId="77777777" w:rsidR="004231FB" w:rsidRDefault="004231FB" w:rsidP="00D96394">
      <w:pPr>
        <w:rPr>
          <w:rFonts w:ascii="Times New Roman" w:hAnsi="Times New Roman" w:cs="Times New Roman"/>
        </w:rPr>
      </w:pPr>
    </w:p>
    <w:p w14:paraId="0724B4FA" w14:textId="77777777" w:rsidR="004231FB" w:rsidRDefault="004231FB" w:rsidP="00D96394">
      <w:pPr>
        <w:rPr>
          <w:rFonts w:ascii="Times New Roman" w:hAnsi="Times New Roman" w:cs="Times New Roman"/>
        </w:rPr>
      </w:pPr>
    </w:p>
    <w:p w14:paraId="70653536" w14:textId="77777777" w:rsidR="004231FB" w:rsidRDefault="004231FB" w:rsidP="00D96394">
      <w:pPr>
        <w:rPr>
          <w:rFonts w:ascii="Times New Roman" w:hAnsi="Times New Roman" w:cs="Times New Roman"/>
        </w:rPr>
      </w:pPr>
    </w:p>
    <w:p w14:paraId="12FE92C9" w14:textId="77777777" w:rsidR="004231FB" w:rsidRDefault="004231FB" w:rsidP="00D96394">
      <w:pPr>
        <w:rPr>
          <w:rFonts w:ascii="Times New Roman" w:hAnsi="Times New Roman" w:cs="Times New Roman"/>
        </w:rPr>
      </w:pPr>
    </w:p>
    <w:p w14:paraId="2050B11E" w14:textId="77777777" w:rsidR="004231FB" w:rsidRDefault="004231FB" w:rsidP="00D96394">
      <w:pPr>
        <w:rPr>
          <w:rFonts w:ascii="Times New Roman" w:hAnsi="Times New Roman" w:cs="Times New Roman"/>
        </w:rPr>
      </w:pPr>
    </w:p>
    <w:p w14:paraId="134E2B9D" w14:textId="77777777" w:rsidR="004231FB" w:rsidRDefault="004231FB" w:rsidP="00D96394">
      <w:pPr>
        <w:rPr>
          <w:rFonts w:ascii="Times New Roman" w:hAnsi="Times New Roman" w:cs="Times New Roman"/>
        </w:rPr>
      </w:pPr>
    </w:p>
    <w:p w14:paraId="1B814DCB" w14:textId="105219B6" w:rsidR="00905092" w:rsidRDefault="00905092" w:rsidP="00D96394">
      <w:pPr>
        <w:rPr>
          <w:rFonts w:ascii="Times New Roman" w:hAnsi="Times New Roman" w:cs="Times New Roman"/>
        </w:rPr>
      </w:pPr>
      <w:r>
        <w:rPr>
          <w:rFonts w:ascii="Times New Roman" w:hAnsi="Times New Roman" w:cs="Times New Roman"/>
        </w:rPr>
        <w:lastRenderedPageBreak/>
        <w:t>Figure 1B: Percent of Students Who Demonstrated College Readiness</w:t>
      </w:r>
    </w:p>
    <w:p w14:paraId="7E35D01C" w14:textId="76D5A66B" w:rsidR="00905092" w:rsidRDefault="00A77E6C" w:rsidP="00D96394">
      <w:pPr>
        <w:rPr>
          <w:rFonts w:ascii="Times New Roman" w:hAnsi="Times New Roman" w:cs="Times New Roman"/>
        </w:rPr>
      </w:pPr>
      <w:r>
        <w:rPr>
          <w:noProof/>
        </w:rPr>
        <w:drawing>
          <wp:inline distT="0" distB="0" distL="0" distR="0" wp14:anchorId="7D5E4862" wp14:editId="0C18C1F3">
            <wp:extent cx="5143500" cy="3467100"/>
            <wp:effectExtent l="0" t="0" r="0" b="0"/>
            <wp:docPr id="1853845316" name="Chart 1">
              <a:extLst xmlns:a="http://schemas.openxmlformats.org/drawingml/2006/main">
                <a:ext uri="{FF2B5EF4-FFF2-40B4-BE49-F238E27FC236}">
                  <a16:creationId xmlns:a16="http://schemas.microsoft.com/office/drawing/2014/main" id="{2B6779CE-925D-4490-B4D1-0495E33EA7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CD5508F" w14:textId="77777777" w:rsidR="004231FB" w:rsidRPr="004231FB" w:rsidRDefault="004231FB" w:rsidP="004231FB">
      <w:pPr>
        <w:rPr>
          <w:rFonts w:ascii="Times New Roman" w:hAnsi="Times New Roman" w:cs="Times New Roman"/>
        </w:rPr>
      </w:pPr>
      <w:r w:rsidRPr="004231FB">
        <w:rPr>
          <w:rFonts w:ascii="Times New Roman" w:hAnsi="Times New Roman" w:cs="Times New Roman"/>
          <w:i/>
          <w:iCs/>
        </w:rPr>
        <w:t>Note:</w:t>
      </w:r>
      <w:r w:rsidRPr="004231FB">
        <w:rPr>
          <w:rFonts w:ascii="Times New Roman" w:hAnsi="Times New Roman" w:cs="Times New Roman"/>
        </w:rPr>
        <w:t xml:space="preserve"> Traditional Public Schools = TPS </w:t>
      </w:r>
    </w:p>
    <w:p w14:paraId="4AFE8885" w14:textId="77777777" w:rsidR="004231FB" w:rsidRDefault="004231FB" w:rsidP="00D96394">
      <w:pPr>
        <w:rPr>
          <w:rFonts w:ascii="Times New Roman" w:hAnsi="Times New Roman" w:cs="Times New Roman"/>
        </w:rPr>
      </w:pPr>
    </w:p>
    <w:p w14:paraId="110D4295" w14:textId="77777777" w:rsidR="004231FB" w:rsidRDefault="004231FB" w:rsidP="00D96394">
      <w:pPr>
        <w:rPr>
          <w:rFonts w:ascii="Times New Roman" w:hAnsi="Times New Roman" w:cs="Times New Roman"/>
        </w:rPr>
      </w:pPr>
    </w:p>
    <w:p w14:paraId="14D6AB50" w14:textId="77777777" w:rsidR="004231FB" w:rsidRDefault="004231FB" w:rsidP="00D96394">
      <w:pPr>
        <w:rPr>
          <w:rFonts w:ascii="Times New Roman" w:hAnsi="Times New Roman" w:cs="Times New Roman"/>
        </w:rPr>
      </w:pPr>
    </w:p>
    <w:p w14:paraId="0A91B7FB" w14:textId="77777777" w:rsidR="004231FB" w:rsidRDefault="004231FB" w:rsidP="00D96394">
      <w:pPr>
        <w:rPr>
          <w:rFonts w:ascii="Times New Roman" w:hAnsi="Times New Roman" w:cs="Times New Roman"/>
        </w:rPr>
      </w:pPr>
    </w:p>
    <w:p w14:paraId="5F74912F" w14:textId="77777777" w:rsidR="004231FB" w:rsidRDefault="004231FB" w:rsidP="00D96394">
      <w:pPr>
        <w:rPr>
          <w:rFonts w:ascii="Times New Roman" w:hAnsi="Times New Roman" w:cs="Times New Roman"/>
        </w:rPr>
      </w:pPr>
    </w:p>
    <w:p w14:paraId="1794FB82" w14:textId="77777777" w:rsidR="004231FB" w:rsidRDefault="004231FB" w:rsidP="00D96394">
      <w:pPr>
        <w:rPr>
          <w:rFonts w:ascii="Times New Roman" w:hAnsi="Times New Roman" w:cs="Times New Roman"/>
        </w:rPr>
      </w:pPr>
    </w:p>
    <w:p w14:paraId="2888A782" w14:textId="77777777" w:rsidR="00A704A0" w:rsidRDefault="00A704A0" w:rsidP="00D96394">
      <w:pPr>
        <w:rPr>
          <w:rFonts w:ascii="Times New Roman" w:hAnsi="Times New Roman" w:cs="Times New Roman"/>
        </w:rPr>
      </w:pPr>
    </w:p>
    <w:p w14:paraId="1072CFD4" w14:textId="77777777" w:rsidR="00A704A0" w:rsidRDefault="00A704A0" w:rsidP="00D96394">
      <w:pPr>
        <w:rPr>
          <w:rFonts w:ascii="Times New Roman" w:hAnsi="Times New Roman" w:cs="Times New Roman"/>
        </w:rPr>
      </w:pPr>
    </w:p>
    <w:p w14:paraId="0447C4CE" w14:textId="77777777" w:rsidR="004231FB" w:rsidRDefault="004231FB" w:rsidP="00D96394">
      <w:pPr>
        <w:rPr>
          <w:rFonts w:ascii="Times New Roman" w:hAnsi="Times New Roman" w:cs="Times New Roman"/>
        </w:rPr>
      </w:pPr>
    </w:p>
    <w:p w14:paraId="0771A80C" w14:textId="77777777" w:rsidR="004231FB" w:rsidRDefault="004231FB" w:rsidP="00D96394">
      <w:pPr>
        <w:rPr>
          <w:rFonts w:ascii="Times New Roman" w:hAnsi="Times New Roman" w:cs="Times New Roman"/>
        </w:rPr>
      </w:pPr>
    </w:p>
    <w:p w14:paraId="2E6ABB9B" w14:textId="77777777" w:rsidR="004231FB" w:rsidRDefault="004231FB" w:rsidP="00D96394">
      <w:pPr>
        <w:rPr>
          <w:rFonts w:ascii="Times New Roman" w:hAnsi="Times New Roman" w:cs="Times New Roman"/>
        </w:rPr>
      </w:pPr>
    </w:p>
    <w:p w14:paraId="14B11E1A" w14:textId="77777777" w:rsidR="004231FB" w:rsidRDefault="004231FB" w:rsidP="00D96394">
      <w:pPr>
        <w:rPr>
          <w:rFonts w:ascii="Times New Roman" w:hAnsi="Times New Roman" w:cs="Times New Roman"/>
        </w:rPr>
      </w:pPr>
    </w:p>
    <w:p w14:paraId="4AF835AA" w14:textId="77777777" w:rsidR="004231FB" w:rsidRDefault="004231FB" w:rsidP="00D96394">
      <w:pPr>
        <w:rPr>
          <w:rFonts w:ascii="Times New Roman" w:hAnsi="Times New Roman" w:cs="Times New Roman"/>
        </w:rPr>
      </w:pPr>
    </w:p>
    <w:p w14:paraId="4811ED7A" w14:textId="1541EB33" w:rsidR="00A77E6C" w:rsidRDefault="00A77E6C" w:rsidP="00D96394">
      <w:pPr>
        <w:rPr>
          <w:rFonts w:ascii="Times New Roman" w:hAnsi="Times New Roman" w:cs="Times New Roman"/>
        </w:rPr>
      </w:pPr>
      <w:r>
        <w:rPr>
          <w:rFonts w:ascii="Times New Roman" w:hAnsi="Times New Roman" w:cs="Times New Roman"/>
        </w:rPr>
        <w:lastRenderedPageBreak/>
        <w:t>Figure 2A: Samples Normative Performance of SAT/ACT Criterion</w:t>
      </w:r>
    </w:p>
    <w:p w14:paraId="269C14B8" w14:textId="33C1EB80" w:rsidR="00A77E6C" w:rsidRDefault="00A77E6C" w:rsidP="00D96394">
      <w:pPr>
        <w:rPr>
          <w:rFonts w:ascii="Times New Roman" w:hAnsi="Times New Roman" w:cs="Times New Roman"/>
        </w:rPr>
      </w:pPr>
      <w:r>
        <w:rPr>
          <w:noProof/>
        </w:rPr>
        <w:drawing>
          <wp:inline distT="0" distB="0" distL="0" distR="0" wp14:anchorId="31745AFA" wp14:editId="2CCD9CC7">
            <wp:extent cx="5509260" cy="3817620"/>
            <wp:effectExtent l="0" t="0" r="15240" b="11430"/>
            <wp:docPr id="328722099" name="Chart 1">
              <a:extLst xmlns:a="http://schemas.openxmlformats.org/drawingml/2006/main">
                <a:ext uri="{FF2B5EF4-FFF2-40B4-BE49-F238E27FC236}">
                  <a16:creationId xmlns:a16="http://schemas.microsoft.com/office/drawing/2014/main" id="{F32BD302-2C7F-4EA5-838F-2450920292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AA732A2" w14:textId="77777777" w:rsidR="004231FB" w:rsidRPr="004231FB" w:rsidRDefault="004231FB" w:rsidP="004231FB">
      <w:pPr>
        <w:rPr>
          <w:rFonts w:ascii="Times New Roman" w:hAnsi="Times New Roman" w:cs="Times New Roman"/>
        </w:rPr>
      </w:pPr>
      <w:r w:rsidRPr="004231FB">
        <w:rPr>
          <w:rFonts w:ascii="Times New Roman" w:hAnsi="Times New Roman" w:cs="Times New Roman"/>
          <w:i/>
          <w:iCs/>
        </w:rPr>
        <w:t>Note:</w:t>
      </w:r>
      <w:r w:rsidRPr="004231FB">
        <w:rPr>
          <w:rFonts w:ascii="Times New Roman" w:hAnsi="Times New Roman" w:cs="Times New Roman"/>
        </w:rPr>
        <w:t xml:space="preserve"> Traditional Public Schools = TPS </w:t>
      </w:r>
    </w:p>
    <w:p w14:paraId="508F75CE" w14:textId="77777777" w:rsidR="004231FB" w:rsidRDefault="004231FB" w:rsidP="00D96394">
      <w:pPr>
        <w:rPr>
          <w:rFonts w:ascii="Times New Roman" w:hAnsi="Times New Roman" w:cs="Times New Roman"/>
        </w:rPr>
      </w:pPr>
    </w:p>
    <w:p w14:paraId="2D037E88" w14:textId="77777777" w:rsidR="004231FB" w:rsidRDefault="004231FB" w:rsidP="00D96394">
      <w:pPr>
        <w:rPr>
          <w:rFonts w:ascii="Times New Roman" w:hAnsi="Times New Roman" w:cs="Times New Roman"/>
        </w:rPr>
      </w:pPr>
    </w:p>
    <w:p w14:paraId="532FF9BD" w14:textId="77777777" w:rsidR="004231FB" w:rsidRDefault="004231FB" w:rsidP="00D96394">
      <w:pPr>
        <w:rPr>
          <w:rFonts w:ascii="Times New Roman" w:hAnsi="Times New Roman" w:cs="Times New Roman"/>
        </w:rPr>
      </w:pPr>
    </w:p>
    <w:p w14:paraId="190272D4" w14:textId="77777777" w:rsidR="004231FB" w:rsidRDefault="004231FB" w:rsidP="00D96394">
      <w:pPr>
        <w:rPr>
          <w:rFonts w:ascii="Times New Roman" w:hAnsi="Times New Roman" w:cs="Times New Roman"/>
        </w:rPr>
      </w:pPr>
    </w:p>
    <w:p w14:paraId="15773311" w14:textId="77777777" w:rsidR="004231FB" w:rsidRDefault="004231FB" w:rsidP="00D96394">
      <w:pPr>
        <w:rPr>
          <w:rFonts w:ascii="Times New Roman" w:hAnsi="Times New Roman" w:cs="Times New Roman"/>
        </w:rPr>
      </w:pPr>
    </w:p>
    <w:p w14:paraId="1BB5016E" w14:textId="77777777" w:rsidR="004231FB" w:rsidRDefault="004231FB" w:rsidP="00D96394">
      <w:pPr>
        <w:rPr>
          <w:rFonts w:ascii="Times New Roman" w:hAnsi="Times New Roman" w:cs="Times New Roman"/>
        </w:rPr>
      </w:pPr>
    </w:p>
    <w:p w14:paraId="6B027C91" w14:textId="77777777" w:rsidR="004231FB" w:rsidRDefault="004231FB" w:rsidP="00D96394">
      <w:pPr>
        <w:rPr>
          <w:rFonts w:ascii="Times New Roman" w:hAnsi="Times New Roman" w:cs="Times New Roman"/>
        </w:rPr>
      </w:pPr>
    </w:p>
    <w:p w14:paraId="77FC7020" w14:textId="77777777" w:rsidR="004231FB" w:rsidRDefault="004231FB" w:rsidP="00D96394">
      <w:pPr>
        <w:rPr>
          <w:rFonts w:ascii="Times New Roman" w:hAnsi="Times New Roman" w:cs="Times New Roman"/>
        </w:rPr>
      </w:pPr>
    </w:p>
    <w:p w14:paraId="3198F7C0" w14:textId="77777777" w:rsidR="00A704A0" w:rsidRDefault="00A704A0" w:rsidP="00D96394">
      <w:pPr>
        <w:rPr>
          <w:rFonts w:ascii="Times New Roman" w:hAnsi="Times New Roman" w:cs="Times New Roman"/>
        </w:rPr>
      </w:pPr>
    </w:p>
    <w:p w14:paraId="39EE1713" w14:textId="77777777" w:rsidR="004231FB" w:rsidRDefault="004231FB" w:rsidP="00D96394">
      <w:pPr>
        <w:rPr>
          <w:rFonts w:ascii="Times New Roman" w:hAnsi="Times New Roman" w:cs="Times New Roman"/>
        </w:rPr>
      </w:pPr>
    </w:p>
    <w:p w14:paraId="2F56ADA8" w14:textId="77777777" w:rsidR="004231FB" w:rsidRDefault="004231FB" w:rsidP="00D96394">
      <w:pPr>
        <w:rPr>
          <w:rFonts w:ascii="Times New Roman" w:hAnsi="Times New Roman" w:cs="Times New Roman"/>
        </w:rPr>
      </w:pPr>
    </w:p>
    <w:p w14:paraId="546AB091" w14:textId="77777777" w:rsidR="004231FB" w:rsidRDefault="004231FB" w:rsidP="00D96394">
      <w:pPr>
        <w:rPr>
          <w:rFonts w:ascii="Times New Roman" w:hAnsi="Times New Roman" w:cs="Times New Roman"/>
        </w:rPr>
      </w:pPr>
    </w:p>
    <w:p w14:paraId="630A432C" w14:textId="73DC8AC0" w:rsidR="00A77E6C" w:rsidRDefault="00A77E6C" w:rsidP="00D96394">
      <w:pPr>
        <w:rPr>
          <w:rFonts w:ascii="Times New Roman" w:hAnsi="Times New Roman" w:cs="Times New Roman"/>
        </w:rPr>
      </w:pPr>
      <w:r>
        <w:rPr>
          <w:rFonts w:ascii="Times New Roman" w:hAnsi="Times New Roman" w:cs="Times New Roman"/>
        </w:rPr>
        <w:lastRenderedPageBreak/>
        <w:t>Figure 2B: Samples Normative Performance of College Readiness</w:t>
      </w:r>
    </w:p>
    <w:p w14:paraId="6CF6C9C4" w14:textId="349E308D" w:rsidR="00A77E6C" w:rsidRDefault="00A77E6C" w:rsidP="00D96394">
      <w:pPr>
        <w:rPr>
          <w:rFonts w:ascii="Times New Roman" w:hAnsi="Times New Roman" w:cs="Times New Roman"/>
        </w:rPr>
      </w:pPr>
      <w:r>
        <w:rPr>
          <w:noProof/>
        </w:rPr>
        <w:drawing>
          <wp:inline distT="0" distB="0" distL="0" distR="0" wp14:anchorId="33B956C2" wp14:editId="548EE9DB">
            <wp:extent cx="5234940" cy="3406140"/>
            <wp:effectExtent l="0" t="0" r="3810" b="3810"/>
            <wp:docPr id="897154953" name="Chart 1">
              <a:extLst xmlns:a="http://schemas.openxmlformats.org/drawingml/2006/main">
                <a:ext uri="{FF2B5EF4-FFF2-40B4-BE49-F238E27FC236}">
                  <a16:creationId xmlns:a16="http://schemas.microsoft.com/office/drawing/2014/main" id="{7608A3D1-3E32-4D13-98C6-0FCF324641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7C6664F" w14:textId="50FB5B71" w:rsidR="004231FB" w:rsidRPr="004231FB" w:rsidRDefault="00A77E6C" w:rsidP="004231FB">
      <w:pPr>
        <w:rPr>
          <w:rFonts w:ascii="Times New Roman" w:hAnsi="Times New Roman" w:cs="Times New Roman"/>
          <w:sz w:val="22"/>
          <w:szCs w:val="22"/>
        </w:rPr>
      </w:pPr>
      <w:r w:rsidRPr="00A77E6C">
        <w:rPr>
          <w:rFonts w:ascii="Times New Roman" w:hAnsi="Times New Roman" w:cs="Times New Roman"/>
          <w:i/>
          <w:iCs/>
        </w:rPr>
        <w:t>Note</w:t>
      </w:r>
      <w:r>
        <w:rPr>
          <w:rFonts w:ascii="Times New Roman" w:hAnsi="Times New Roman" w:cs="Times New Roman"/>
          <w:i/>
          <w:iCs/>
        </w:rPr>
        <w:t xml:space="preserve">: </w:t>
      </w:r>
      <w:r w:rsidRPr="00A77E6C">
        <w:rPr>
          <w:rFonts w:ascii="Times New Roman" w:hAnsi="Times New Roman" w:cs="Times New Roman"/>
        </w:rPr>
        <w:t xml:space="preserve">The y-axis is truncated to </w:t>
      </w:r>
      <w:r>
        <w:rPr>
          <w:rFonts w:ascii="Times New Roman" w:hAnsi="Times New Roman" w:cs="Times New Roman"/>
        </w:rPr>
        <w:t>enhance the readability of the differences between the treatment and comparison groups.</w:t>
      </w:r>
      <w:r w:rsidRPr="00A77E6C">
        <w:rPr>
          <w:rFonts w:ascii="Times New Roman" w:hAnsi="Times New Roman" w:cs="Times New Roman"/>
        </w:rPr>
        <w:t xml:space="preserve"> </w:t>
      </w:r>
      <w:r>
        <w:rPr>
          <w:rFonts w:ascii="Times New Roman" w:hAnsi="Times New Roman" w:cs="Times New Roman"/>
        </w:rPr>
        <w:t>T</w:t>
      </w:r>
      <w:r w:rsidRPr="00A77E6C">
        <w:rPr>
          <w:rFonts w:ascii="Times New Roman" w:hAnsi="Times New Roman" w:cs="Times New Roman"/>
        </w:rPr>
        <w:t xml:space="preserve">he scale begins at </w:t>
      </w:r>
      <w:r>
        <w:rPr>
          <w:rFonts w:ascii="Times New Roman" w:hAnsi="Times New Roman" w:cs="Times New Roman"/>
        </w:rPr>
        <w:t>70 percent</w:t>
      </w:r>
      <w:r w:rsidRPr="00A77E6C">
        <w:rPr>
          <w:rFonts w:ascii="Times New Roman" w:hAnsi="Times New Roman" w:cs="Times New Roman"/>
        </w:rPr>
        <w:t xml:space="preserve"> rather than zero</w:t>
      </w:r>
      <w:r w:rsidR="004231FB">
        <w:rPr>
          <w:rFonts w:ascii="Times New Roman" w:hAnsi="Times New Roman" w:cs="Times New Roman"/>
        </w:rPr>
        <w:t xml:space="preserve">; </w:t>
      </w:r>
      <w:r w:rsidR="004231FB" w:rsidRPr="004231FB">
        <w:rPr>
          <w:rFonts w:ascii="Times New Roman" w:hAnsi="Times New Roman" w:cs="Times New Roman"/>
        </w:rPr>
        <w:t>Traditional Public Schools = TPS</w:t>
      </w:r>
      <w:r w:rsidR="00982A43">
        <w:rPr>
          <w:rFonts w:ascii="Times New Roman" w:hAnsi="Times New Roman" w:cs="Times New Roman"/>
        </w:rPr>
        <w:t>.</w:t>
      </w:r>
      <w:r w:rsidR="004231FB" w:rsidRPr="004231FB">
        <w:rPr>
          <w:rFonts w:ascii="Times New Roman" w:hAnsi="Times New Roman" w:cs="Times New Roman"/>
        </w:rPr>
        <w:t xml:space="preserve"> </w:t>
      </w:r>
    </w:p>
    <w:p w14:paraId="03629BC9" w14:textId="114FCB47" w:rsidR="00A77E6C" w:rsidRPr="00FE6E33" w:rsidRDefault="00A77E6C" w:rsidP="00D96394">
      <w:pPr>
        <w:rPr>
          <w:rFonts w:ascii="Times New Roman" w:hAnsi="Times New Roman" w:cs="Times New Roman"/>
        </w:rPr>
      </w:pPr>
    </w:p>
    <w:sectPr w:rsidR="00A77E6C" w:rsidRPr="00FE6E33">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E0F6E" w14:textId="77777777" w:rsidR="008C3F79" w:rsidRDefault="008C3F79" w:rsidP="00EC1EC9">
      <w:pPr>
        <w:spacing w:after="0" w:line="240" w:lineRule="auto"/>
      </w:pPr>
      <w:r>
        <w:separator/>
      </w:r>
    </w:p>
  </w:endnote>
  <w:endnote w:type="continuationSeparator" w:id="0">
    <w:p w14:paraId="12A478AC" w14:textId="77777777" w:rsidR="008C3F79" w:rsidRDefault="008C3F79" w:rsidP="00EC1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7F6E" w14:textId="73D33171" w:rsidR="00EC1EC9" w:rsidRDefault="00EC1EC9" w:rsidP="00F90E7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B885E" w14:textId="77777777" w:rsidR="008C3F79" w:rsidRDefault="008C3F79" w:rsidP="00EC1EC9">
      <w:pPr>
        <w:spacing w:after="0" w:line="240" w:lineRule="auto"/>
      </w:pPr>
      <w:r>
        <w:separator/>
      </w:r>
    </w:p>
  </w:footnote>
  <w:footnote w:type="continuationSeparator" w:id="0">
    <w:p w14:paraId="64B81FB0" w14:textId="77777777" w:rsidR="008C3F79" w:rsidRDefault="008C3F79" w:rsidP="00EC1E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219022"/>
      <w:docPartObj>
        <w:docPartGallery w:val="Page Numbers (Top of Page)"/>
        <w:docPartUnique/>
      </w:docPartObj>
    </w:sdtPr>
    <w:sdtEndPr>
      <w:rPr>
        <w:rFonts w:ascii="Times New Roman" w:hAnsi="Times New Roman" w:cs="Times New Roman"/>
        <w:noProof/>
      </w:rPr>
    </w:sdtEndPr>
    <w:sdtContent>
      <w:p w14:paraId="2F45A43D" w14:textId="177A72F4" w:rsidR="00F90E74" w:rsidRPr="00F90E74" w:rsidRDefault="00F90E74">
        <w:pPr>
          <w:pStyle w:val="Header"/>
          <w:jc w:val="right"/>
          <w:rPr>
            <w:rFonts w:ascii="Times New Roman" w:hAnsi="Times New Roman" w:cs="Times New Roman"/>
          </w:rPr>
        </w:pPr>
        <w:r w:rsidRPr="00F90E74">
          <w:rPr>
            <w:rFonts w:ascii="Times New Roman" w:hAnsi="Times New Roman" w:cs="Times New Roman"/>
          </w:rPr>
          <w:fldChar w:fldCharType="begin"/>
        </w:r>
        <w:r w:rsidRPr="00F90E74">
          <w:rPr>
            <w:rFonts w:ascii="Times New Roman" w:hAnsi="Times New Roman" w:cs="Times New Roman"/>
          </w:rPr>
          <w:instrText xml:space="preserve"> PAGE   \* MERGEFORMAT </w:instrText>
        </w:r>
        <w:r w:rsidRPr="00F90E74">
          <w:rPr>
            <w:rFonts w:ascii="Times New Roman" w:hAnsi="Times New Roman" w:cs="Times New Roman"/>
          </w:rPr>
          <w:fldChar w:fldCharType="separate"/>
        </w:r>
        <w:r w:rsidRPr="00F90E74">
          <w:rPr>
            <w:rFonts w:ascii="Times New Roman" w:hAnsi="Times New Roman" w:cs="Times New Roman"/>
            <w:noProof/>
          </w:rPr>
          <w:t>2</w:t>
        </w:r>
        <w:r w:rsidRPr="00F90E74">
          <w:rPr>
            <w:rFonts w:ascii="Times New Roman" w:hAnsi="Times New Roman" w:cs="Times New Roman"/>
            <w:noProof/>
          </w:rPr>
          <w:fldChar w:fldCharType="end"/>
        </w:r>
      </w:p>
    </w:sdtContent>
  </w:sdt>
  <w:p w14:paraId="14246A35" w14:textId="77777777" w:rsidR="00DB201D" w:rsidRDefault="00DB20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042"/>
    <w:rsid w:val="00085042"/>
    <w:rsid w:val="000F08F5"/>
    <w:rsid w:val="001529FF"/>
    <w:rsid w:val="001D5C69"/>
    <w:rsid w:val="001D78C1"/>
    <w:rsid w:val="00212341"/>
    <w:rsid w:val="00231DF7"/>
    <w:rsid w:val="003174C1"/>
    <w:rsid w:val="003B4C2D"/>
    <w:rsid w:val="003D360E"/>
    <w:rsid w:val="0040043D"/>
    <w:rsid w:val="004231FB"/>
    <w:rsid w:val="00436B49"/>
    <w:rsid w:val="00513887"/>
    <w:rsid w:val="005160C9"/>
    <w:rsid w:val="00521FB2"/>
    <w:rsid w:val="005E6942"/>
    <w:rsid w:val="00665814"/>
    <w:rsid w:val="00792EE4"/>
    <w:rsid w:val="007E6337"/>
    <w:rsid w:val="0084081A"/>
    <w:rsid w:val="00895580"/>
    <w:rsid w:val="008C0719"/>
    <w:rsid w:val="008C3F79"/>
    <w:rsid w:val="00905092"/>
    <w:rsid w:val="0096658E"/>
    <w:rsid w:val="00982A43"/>
    <w:rsid w:val="009C224E"/>
    <w:rsid w:val="00A704A0"/>
    <w:rsid w:val="00A77E6C"/>
    <w:rsid w:val="00C25924"/>
    <w:rsid w:val="00C45526"/>
    <w:rsid w:val="00CF254B"/>
    <w:rsid w:val="00D439D3"/>
    <w:rsid w:val="00D96394"/>
    <w:rsid w:val="00DA1D1B"/>
    <w:rsid w:val="00DB201D"/>
    <w:rsid w:val="00DF1A00"/>
    <w:rsid w:val="00E1092E"/>
    <w:rsid w:val="00EC1EC9"/>
    <w:rsid w:val="00EF150D"/>
    <w:rsid w:val="00F15EF2"/>
    <w:rsid w:val="00F42AC8"/>
    <w:rsid w:val="00F87513"/>
    <w:rsid w:val="00F90E74"/>
    <w:rsid w:val="00FE6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AE35A"/>
  <w15:chartTrackingRefBased/>
  <w15:docId w15:val="{35DE2EA8-6493-4C07-9506-7EF5412E1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042"/>
    <w:rPr>
      <w:rFonts w:eastAsiaTheme="majorEastAsia" w:cstheme="majorBidi"/>
      <w:color w:val="272727" w:themeColor="text1" w:themeTint="D8"/>
    </w:rPr>
  </w:style>
  <w:style w:type="paragraph" w:styleId="Title">
    <w:name w:val="Title"/>
    <w:basedOn w:val="Normal"/>
    <w:next w:val="Normal"/>
    <w:link w:val="TitleChar"/>
    <w:uiPriority w:val="10"/>
    <w:qFormat/>
    <w:rsid w:val="00085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042"/>
    <w:pPr>
      <w:spacing w:before="160"/>
      <w:jc w:val="center"/>
    </w:pPr>
    <w:rPr>
      <w:i/>
      <w:iCs/>
      <w:color w:val="404040" w:themeColor="text1" w:themeTint="BF"/>
    </w:rPr>
  </w:style>
  <w:style w:type="character" w:customStyle="1" w:styleId="QuoteChar">
    <w:name w:val="Quote Char"/>
    <w:basedOn w:val="DefaultParagraphFont"/>
    <w:link w:val="Quote"/>
    <w:uiPriority w:val="29"/>
    <w:rsid w:val="00085042"/>
    <w:rPr>
      <w:i/>
      <w:iCs/>
      <w:color w:val="404040" w:themeColor="text1" w:themeTint="BF"/>
    </w:rPr>
  </w:style>
  <w:style w:type="paragraph" w:styleId="ListParagraph">
    <w:name w:val="List Paragraph"/>
    <w:basedOn w:val="Normal"/>
    <w:uiPriority w:val="34"/>
    <w:qFormat/>
    <w:rsid w:val="00085042"/>
    <w:pPr>
      <w:ind w:left="720"/>
      <w:contextualSpacing/>
    </w:pPr>
  </w:style>
  <w:style w:type="character" w:styleId="IntenseEmphasis">
    <w:name w:val="Intense Emphasis"/>
    <w:basedOn w:val="DefaultParagraphFont"/>
    <w:uiPriority w:val="21"/>
    <w:qFormat/>
    <w:rsid w:val="00085042"/>
    <w:rPr>
      <w:i/>
      <w:iCs/>
      <w:color w:val="2F5496" w:themeColor="accent1" w:themeShade="BF"/>
    </w:rPr>
  </w:style>
  <w:style w:type="paragraph" w:styleId="IntenseQuote">
    <w:name w:val="Intense Quote"/>
    <w:basedOn w:val="Normal"/>
    <w:next w:val="Normal"/>
    <w:link w:val="IntenseQuoteChar"/>
    <w:uiPriority w:val="30"/>
    <w:qFormat/>
    <w:rsid w:val="00085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042"/>
    <w:rPr>
      <w:i/>
      <w:iCs/>
      <w:color w:val="2F5496" w:themeColor="accent1" w:themeShade="BF"/>
    </w:rPr>
  </w:style>
  <w:style w:type="character" w:styleId="IntenseReference">
    <w:name w:val="Intense Reference"/>
    <w:basedOn w:val="DefaultParagraphFont"/>
    <w:uiPriority w:val="32"/>
    <w:qFormat/>
    <w:rsid w:val="00085042"/>
    <w:rPr>
      <w:b/>
      <w:bCs/>
      <w:smallCaps/>
      <w:color w:val="2F5496" w:themeColor="accent1" w:themeShade="BF"/>
      <w:spacing w:val="5"/>
    </w:rPr>
  </w:style>
  <w:style w:type="character" w:styleId="Hyperlink">
    <w:name w:val="Hyperlink"/>
    <w:basedOn w:val="DefaultParagraphFont"/>
    <w:uiPriority w:val="99"/>
    <w:unhideWhenUsed/>
    <w:rsid w:val="00231DF7"/>
    <w:rPr>
      <w:color w:val="0563C1" w:themeColor="hyperlink"/>
      <w:u w:val="single"/>
    </w:rPr>
  </w:style>
  <w:style w:type="character" w:styleId="UnresolvedMention">
    <w:name w:val="Unresolved Mention"/>
    <w:basedOn w:val="DefaultParagraphFont"/>
    <w:uiPriority w:val="99"/>
    <w:semiHidden/>
    <w:unhideWhenUsed/>
    <w:rsid w:val="00231DF7"/>
    <w:rPr>
      <w:color w:val="605E5C"/>
      <w:shd w:val="clear" w:color="auto" w:fill="E1DFDD"/>
    </w:rPr>
  </w:style>
  <w:style w:type="paragraph" w:styleId="Header">
    <w:name w:val="header"/>
    <w:basedOn w:val="Normal"/>
    <w:link w:val="HeaderChar"/>
    <w:uiPriority w:val="99"/>
    <w:unhideWhenUsed/>
    <w:rsid w:val="00EC1E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EC9"/>
  </w:style>
  <w:style w:type="paragraph" w:styleId="Footer">
    <w:name w:val="footer"/>
    <w:basedOn w:val="Normal"/>
    <w:link w:val="FooterChar"/>
    <w:uiPriority w:val="99"/>
    <w:unhideWhenUsed/>
    <w:rsid w:val="00EC1E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EC9"/>
  </w:style>
  <w:style w:type="paragraph" w:styleId="NoSpacing">
    <w:name w:val="No Spacing"/>
    <w:link w:val="NoSpacingChar"/>
    <w:uiPriority w:val="1"/>
    <w:qFormat/>
    <w:rsid w:val="000F08F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F08F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6/706534" TargetMode="External"/><Relationship Id="rId13" Type="http://schemas.openxmlformats.org/officeDocument/2006/relationships/chart" Target="charts/chart3.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086/683665" TargetMode="Externa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doi.org/10.1111/ecaf.12229" TargetMode="External"/><Relationship Id="rId11" Type="http://schemas.openxmlformats.org/officeDocument/2006/relationships/chart" Target="charts/chart1.xm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doi.org/10.1162/edfp_a_00411" TargetMode="External"/><Relationship Id="rId4" Type="http://schemas.openxmlformats.org/officeDocument/2006/relationships/footnotes" Target="footnotes.xml"/><Relationship Id="rId9" Type="http://schemas.openxmlformats.org/officeDocument/2006/relationships/hyperlink" Target="https://doi.org/10.1080/15582159.2025.2492953" TargetMode="External"/><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https://american0-my.sharepoint.com/personal/mf6302a_american_edu/Documents/Qual_Quant_Final%20Project%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american0-my.sharepoint.com/personal/mf6302a_american_edu/Documents/Qual_Quant_Final%20Project%20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american0-my.sharepoint.com/personal/mf6302a_american_edu/Documents/Qual_Quant_Final%20Project%20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american0-my.sharepoint.com/personal/mf6302a_american_edu/Documents/Qual_Quant_Final%20Project%20Dat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Cambria" panose="02040503050406030204" pitchFamily="18" charset="0"/>
                <a:ea typeface="Cambria" panose="02040503050406030204" pitchFamily="18" charset="0"/>
                <a:cs typeface="+mn-cs"/>
              </a:defRPr>
            </a:pPr>
            <a:r>
              <a:rPr lang="en-US">
                <a:solidFill>
                  <a:sysClr val="windowText" lastClr="000000"/>
                </a:solidFill>
                <a:latin typeface="Cambria" panose="02040503050406030204" pitchFamily="18" charset="0"/>
                <a:ea typeface="Cambria" panose="02040503050406030204" pitchFamily="18" charset="0"/>
              </a:rPr>
              <a:t>Students Who Met the State SAT/ACT Criterion</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Cambria" panose="02040503050406030204" pitchFamily="18" charset="0"/>
              <a:ea typeface="Cambria" panose="02040503050406030204" pitchFamily="18" charset="0"/>
              <a:cs typeface="+mn-cs"/>
            </a:defRPr>
          </a:pPr>
          <a:endParaRPr lang="en-US"/>
        </a:p>
      </c:txPr>
    </c:title>
    <c:autoTitleDeleted val="0"/>
    <c:plotArea>
      <c:layout/>
      <c:barChart>
        <c:barDir val="col"/>
        <c:grouping val="clustered"/>
        <c:varyColors val="0"/>
        <c:ser>
          <c:idx val="0"/>
          <c:order val="0"/>
          <c:tx>
            <c:strRef>
              <c:f>SATACT!$B$15</c:f>
              <c:strCache>
                <c:ptCount val="1"/>
                <c:pt idx="0">
                  <c:v>Charter</c:v>
                </c:pt>
              </c:strCache>
            </c:strRef>
          </c:tx>
          <c:spPr>
            <a:pattFill prst="pct90">
              <a:fgClr>
                <a:srgbClr val="002060"/>
              </a:fgClr>
              <a:bgClr>
                <a:schemeClr val="bg1"/>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SATACT!$A$16:$A$20</c:f>
              <c:strCache>
                <c:ptCount val="5"/>
                <c:pt idx="0">
                  <c:v>NE Pair</c:v>
                </c:pt>
                <c:pt idx="1">
                  <c:v>S Pair</c:v>
                </c:pt>
                <c:pt idx="2">
                  <c:v>N Pair</c:v>
                </c:pt>
                <c:pt idx="3">
                  <c:v>SW Pair</c:v>
                </c:pt>
                <c:pt idx="4">
                  <c:v>E Pair</c:v>
                </c:pt>
              </c:strCache>
            </c:strRef>
          </c:cat>
          <c:val>
            <c:numRef>
              <c:f>SATACT!$B$16:$B$20</c:f>
              <c:numCache>
                <c:formatCode>0.0%</c:formatCode>
                <c:ptCount val="5"/>
                <c:pt idx="0">
                  <c:v>8.8999999999999996E-2</c:v>
                </c:pt>
                <c:pt idx="1">
                  <c:v>9.2999999999999999E-2</c:v>
                </c:pt>
                <c:pt idx="2">
                  <c:v>0.22900000000000001</c:v>
                </c:pt>
                <c:pt idx="3">
                  <c:v>0.249</c:v>
                </c:pt>
                <c:pt idx="4">
                  <c:v>0.16200000000000001</c:v>
                </c:pt>
              </c:numCache>
            </c:numRef>
          </c:val>
          <c:extLst>
            <c:ext xmlns:c16="http://schemas.microsoft.com/office/drawing/2014/chart" uri="{C3380CC4-5D6E-409C-BE32-E72D297353CC}">
              <c16:uniqueId val="{00000000-E017-405D-8679-FB91FC4D2A35}"/>
            </c:ext>
          </c:extLst>
        </c:ser>
        <c:ser>
          <c:idx val="1"/>
          <c:order val="1"/>
          <c:tx>
            <c:strRef>
              <c:f>SATACT!$C$15</c:f>
              <c:strCache>
                <c:ptCount val="1"/>
                <c:pt idx="0">
                  <c:v>TPS</c:v>
                </c:pt>
              </c:strCache>
            </c:strRef>
          </c:tx>
          <c:spPr>
            <a:pattFill prst="dkDnDiag">
              <a:fgClr>
                <a:schemeClr val="accent2"/>
              </a:fgClr>
              <a:bgClr>
                <a:schemeClr val="bg1"/>
              </a:bgClr>
            </a:pattFill>
            <a:ln>
              <a:noFill/>
            </a:ln>
            <a:effectLst/>
          </c:spPr>
          <c:invertIfNegative val="0"/>
          <c:dLbls>
            <c:dLbl>
              <c:idx val="0"/>
              <c:layout>
                <c:manualLayout>
                  <c:x val="1.6614505715651613E-2"/>
                  <c:y val="-1.2249003118869117E-1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017-405D-8679-FB91FC4D2A35}"/>
                </c:ext>
              </c:extLst>
            </c:dLbl>
            <c:dLbl>
              <c:idx val="1"/>
              <c:layout>
                <c:manualLayout>
                  <c:x val="2.6108508981738249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017-405D-8679-FB91FC4D2A35}"/>
                </c:ext>
              </c:extLst>
            </c:dLbl>
            <c:dLbl>
              <c:idx val="2"/>
              <c:layout>
                <c:manualLayout>
                  <c:x val="1.4241004899129953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017-405D-8679-FB91FC4D2A35}"/>
                </c:ext>
              </c:extLst>
            </c:dLbl>
            <c:dLbl>
              <c:idx val="3"/>
              <c:layout>
                <c:manualLayout>
                  <c:x val="1.8297021500630915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017-405D-8679-FB91FC4D2A35}"/>
                </c:ext>
              </c:extLst>
            </c:dLbl>
            <c:dLbl>
              <c:idx val="4"/>
              <c:layout>
                <c:manualLayout>
                  <c:x val="1.4241004899129953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017-405D-8679-FB91FC4D2A35}"/>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SATACT!$A$16:$A$20</c:f>
              <c:strCache>
                <c:ptCount val="5"/>
                <c:pt idx="0">
                  <c:v>NE Pair</c:v>
                </c:pt>
                <c:pt idx="1">
                  <c:v>S Pair</c:v>
                </c:pt>
                <c:pt idx="2">
                  <c:v>N Pair</c:v>
                </c:pt>
                <c:pt idx="3">
                  <c:v>SW Pair</c:v>
                </c:pt>
                <c:pt idx="4">
                  <c:v>E Pair</c:v>
                </c:pt>
              </c:strCache>
            </c:strRef>
          </c:cat>
          <c:val>
            <c:numRef>
              <c:f>SATACT!$C$16:$C$20</c:f>
              <c:numCache>
                <c:formatCode>0.0%</c:formatCode>
                <c:ptCount val="5"/>
                <c:pt idx="0">
                  <c:v>4.3999999999999997E-2</c:v>
                </c:pt>
                <c:pt idx="1">
                  <c:v>4.5999999999999999E-2</c:v>
                </c:pt>
                <c:pt idx="2">
                  <c:v>4.1000000000000002E-2</c:v>
                </c:pt>
                <c:pt idx="3">
                  <c:v>9.8000000000000004E-2</c:v>
                </c:pt>
                <c:pt idx="4">
                  <c:v>6.7000000000000004E-2</c:v>
                </c:pt>
              </c:numCache>
            </c:numRef>
          </c:val>
          <c:extLst>
            <c:ext xmlns:c16="http://schemas.microsoft.com/office/drawing/2014/chart" uri="{C3380CC4-5D6E-409C-BE32-E72D297353CC}">
              <c16:uniqueId val="{00000006-E017-405D-8679-FB91FC4D2A35}"/>
            </c:ext>
          </c:extLst>
        </c:ser>
        <c:dLbls>
          <c:showLegendKey val="0"/>
          <c:showVal val="0"/>
          <c:showCatName val="0"/>
          <c:showSerName val="0"/>
          <c:showPercent val="0"/>
          <c:showBubbleSize val="0"/>
        </c:dLbls>
        <c:gapWidth val="150"/>
        <c:axId val="824248400"/>
        <c:axId val="824249360"/>
      </c:barChart>
      <c:catAx>
        <c:axId val="824248400"/>
        <c:scaling>
          <c:orientation val="minMax"/>
        </c:scaling>
        <c:delete val="0"/>
        <c:axPos val="b"/>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050">
                    <a:solidFill>
                      <a:sysClr val="windowText" lastClr="000000"/>
                    </a:solidFill>
                    <a:latin typeface="Times New Roman" panose="02020603050405020304" pitchFamily="18" charset="0"/>
                    <a:cs typeface="Times New Roman" panose="02020603050405020304" pitchFamily="18" charset="0"/>
                  </a:rPr>
                  <a:t>Geographic Pairs </a:t>
                </a:r>
              </a:p>
            </c:rich>
          </c:tx>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Cambria" panose="02040503050406030204" pitchFamily="18" charset="0"/>
                <a:cs typeface="Times New Roman" panose="02020603050405020304" pitchFamily="18" charset="0"/>
              </a:defRPr>
            </a:pPr>
            <a:endParaRPr lang="en-US"/>
          </a:p>
        </c:txPr>
        <c:crossAx val="824249360"/>
        <c:crosses val="autoZero"/>
        <c:auto val="1"/>
        <c:lblAlgn val="ctr"/>
        <c:lblOffset val="100"/>
        <c:noMultiLvlLbl val="0"/>
      </c:catAx>
      <c:valAx>
        <c:axId val="824249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50">
                    <a:solidFill>
                      <a:sysClr val="windowText" lastClr="000000"/>
                    </a:solidFill>
                    <a:latin typeface="Times New Roman" panose="02020603050405020304" pitchFamily="18" charset="0"/>
                    <a:cs typeface="Times New Roman" panose="02020603050405020304" pitchFamily="18" charset="0"/>
                  </a:rPr>
                  <a:t>SAT/ACT Criterion (%)</a:t>
                </a:r>
              </a:p>
            </c:rich>
          </c:tx>
          <c:layout>
            <c:manualLayout>
              <c:xMode val="edge"/>
              <c:yMode val="edge"/>
              <c:x val="1.3000520020800831E-2"/>
              <c:y val="0.2444411125513487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Cambria" panose="02040503050406030204" pitchFamily="18" charset="0"/>
                <a:cs typeface="Times New Roman" panose="02020603050405020304" pitchFamily="18" charset="0"/>
              </a:defRPr>
            </a:pPr>
            <a:endParaRPr lang="en-US"/>
          </a:p>
        </c:txPr>
        <c:crossAx val="8242484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Cambria" panose="02040503050406030204" pitchFamily="18" charset="0"/>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solidFill>
                <a:latin typeface="Times New Roman" panose="02020603050405020304" pitchFamily="18" charset="0"/>
                <a:cs typeface="Times New Roman" panose="02020603050405020304" pitchFamily="18" charset="0"/>
              </a:rPr>
              <a:t>Students Who Demonstrated College Readiness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Sheet10!$B$10</c:f>
              <c:strCache>
                <c:ptCount val="1"/>
                <c:pt idx="0">
                  <c:v>Charter</c:v>
                </c:pt>
              </c:strCache>
            </c:strRef>
          </c:tx>
          <c:spPr>
            <a:pattFill prst="pct80">
              <a:fgClr>
                <a:srgbClr val="002060"/>
              </a:fgClr>
              <a:bgClr>
                <a:schemeClr val="bg1"/>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Sheet10!$A$11:$A$15</c:f>
              <c:strCache>
                <c:ptCount val="5"/>
                <c:pt idx="0">
                  <c:v>NE Pair</c:v>
                </c:pt>
                <c:pt idx="1">
                  <c:v>S Pair</c:v>
                </c:pt>
                <c:pt idx="2">
                  <c:v>N Pair</c:v>
                </c:pt>
                <c:pt idx="3">
                  <c:v>SW Pair</c:v>
                </c:pt>
                <c:pt idx="4">
                  <c:v>E Pair</c:v>
                </c:pt>
              </c:strCache>
            </c:strRef>
          </c:cat>
          <c:val>
            <c:numRef>
              <c:f>Sheet10!$B$11:$B$15</c:f>
              <c:numCache>
                <c:formatCode>0.0%</c:formatCode>
                <c:ptCount val="5"/>
                <c:pt idx="0">
                  <c:v>0.98299999999999998</c:v>
                </c:pt>
                <c:pt idx="1">
                  <c:v>0.97</c:v>
                </c:pt>
                <c:pt idx="2">
                  <c:v>0.99099999999999999</c:v>
                </c:pt>
                <c:pt idx="3">
                  <c:v>0.96900000000000008</c:v>
                </c:pt>
                <c:pt idx="4">
                  <c:v>0.97</c:v>
                </c:pt>
              </c:numCache>
            </c:numRef>
          </c:val>
          <c:extLst>
            <c:ext xmlns:c16="http://schemas.microsoft.com/office/drawing/2014/chart" uri="{C3380CC4-5D6E-409C-BE32-E72D297353CC}">
              <c16:uniqueId val="{00000000-C1AA-4B38-9C80-10C1573C1BB7}"/>
            </c:ext>
          </c:extLst>
        </c:ser>
        <c:ser>
          <c:idx val="1"/>
          <c:order val="1"/>
          <c:tx>
            <c:strRef>
              <c:f>Sheet10!$C$10</c:f>
              <c:strCache>
                <c:ptCount val="1"/>
                <c:pt idx="0">
                  <c:v>TPS</c:v>
                </c:pt>
              </c:strCache>
            </c:strRef>
          </c:tx>
          <c:spPr>
            <a:pattFill prst="dkDnDiag">
              <a:fgClr>
                <a:schemeClr val="accent2"/>
              </a:fgClr>
              <a:bgClr>
                <a:schemeClr val="bg1"/>
              </a:bgClr>
            </a:pattFill>
            <a:ln>
              <a:noFill/>
            </a:ln>
            <a:effectLst/>
          </c:spPr>
          <c:invertIfNegative val="0"/>
          <c:dLbls>
            <c:dLbl>
              <c:idx val="0"/>
              <c:layout>
                <c:manualLayout>
                  <c:x val="1.6434467422504234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1AA-4B38-9C80-10C1573C1BB7}"/>
                </c:ext>
              </c:extLst>
            </c:dLbl>
            <c:dLbl>
              <c:idx val="1"/>
              <c:layout>
                <c:manualLayout>
                  <c:x val="1.1738905301788725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1AA-4B38-9C80-10C1573C1BB7}"/>
                </c:ext>
              </c:extLst>
            </c:dLbl>
            <c:dLbl>
              <c:idx val="2"/>
              <c:layout>
                <c:manualLayout>
                  <c:x val="2.1130029543219783E-2"/>
                  <c:y val="-5.9412896069917745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1AA-4B38-9C80-10C1573C1BB7}"/>
                </c:ext>
              </c:extLst>
            </c:dLbl>
            <c:dLbl>
              <c:idx val="3"/>
              <c:layout>
                <c:manualLayout>
                  <c:x val="1.6434467422504276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1AA-4B38-9C80-10C1573C1BB7}"/>
                </c:ext>
              </c:extLst>
            </c:dLbl>
            <c:dLbl>
              <c:idx val="4"/>
              <c:layout>
                <c:manualLayout>
                  <c:x val="2.3477810603577537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1AA-4B38-9C80-10C1573C1BB7}"/>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Sheet10!$A$11:$A$15</c:f>
              <c:strCache>
                <c:ptCount val="5"/>
                <c:pt idx="0">
                  <c:v>NE Pair</c:v>
                </c:pt>
                <c:pt idx="1">
                  <c:v>S Pair</c:v>
                </c:pt>
                <c:pt idx="2">
                  <c:v>N Pair</c:v>
                </c:pt>
                <c:pt idx="3">
                  <c:v>SW Pair</c:v>
                </c:pt>
                <c:pt idx="4">
                  <c:v>E Pair</c:v>
                </c:pt>
              </c:strCache>
            </c:strRef>
          </c:cat>
          <c:val>
            <c:numRef>
              <c:f>Sheet10!$C$11:$C$15</c:f>
              <c:numCache>
                <c:formatCode>0.0%</c:formatCode>
                <c:ptCount val="5"/>
                <c:pt idx="0">
                  <c:v>0.79</c:v>
                </c:pt>
                <c:pt idx="1">
                  <c:v>0.72199999999999998</c:v>
                </c:pt>
                <c:pt idx="2">
                  <c:v>0.83499999999999996</c:v>
                </c:pt>
                <c:pt idx="3">
                  <c:v>0.77599999999999991</c:v>
                </c:pt>
                <c:pt idx="4">
                  <c:v>0.77200000000000002</c:v>
                </c:pt>
              </c:numCache>
            </c:numRef>
          </c:val>
          <c:extLst>
            <c:ext xmlns:c16="http://schemas.microsoft.com/office/drawing/2014/chart" uri="{C3380CC4-5D6E-409C-BE32-E72D297353CC}">
              <c16:uniqueId val="{00000006-C1AA-4B38-9C80-10C1573C1BB7}"/>
            </c:ext>
          </c:extLst>
        </c:ser>
        <c:dLbls>
          <c:showLegendKey val="0"/>
          <c:showVal val="0"/>
          <c:showCatName val="0"/>
          <c:showSerName val="0"/>
          <c:showPercent val="0"/>
          <c:showBubbleSize val="0"/>
        </c:dLbls>
        <c:gapWidth val="150"/>
        <c:axId val="1618115663"/>
        <c:axId val="1618116143"/>
      </c:barChart>
      <c:catAx>
        <c:axId val="1618115663"/>
        <c:scaling>
          <c:orientation val="minMax"/>
        </c:scaling>
        <c:delete val="0"/>
        <c:axPos val="b"/>
        <c:title>
          <c:tx>
            <c:rich>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r>
                  <a:rPr lang="en-US" sz="1050">
                    <a:solidFill>
                      <a:sysClr val="windowText" lastClr="000000"/>
                    </a:solidFill>
                    <a:latin typeface="Times New Roman" panose="02020603050405020304" pitchFamily="18" charset="0"/>
                    <a:cs typeface="Times New Roman" panose="02020603050405020304" pitchFamily="18" charset="0"/>
                  </a:rPr>
                  <a:t>Geographic Pairs</a:t>
                </a:r>
              </a:p>
            </c:rich>
          </c:tx>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18116143"/>
        <c:crosses val="autoZero"/>
        <c:auto val="1"/>
        <c:lblAlgn val="ctr"/>
        <c:lblOffset val="100"/>
        <c:noMultiLvlLbl val="0"/>
      </c:catAx>
      <c:valAx>
        <c:axId val="1618116143"/>
        <c:scaling>
          <c:orientation val="minMax"/>
          <c:max val="1.100000000000000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050">
                    <a:solidFill>
                      <a:sysClr val="windowText" lastClr="000000"/>
                    </a:solidFill>
                    <a:latin typeface="Times New Roman" panose="02020603050405020304" pitchFamily="18" charset="0"/>
                    <a:cs typeface="Times New Roman" panose="02020603050405020304" pitchFamily="18" charset="0"/>
                  </a:rPr>
                  <a:t>College Readiness (%)</a:t>
                </a:r>
              </a:p>
            </c:rich>
          </c:tx>
          <c:overlay val="0"/>
          <c:spPr>
            <a:noFill/>
            <a:ln>
              <a:noFill/>
            </a:ln>
            <a:effectLst/>
          </c:spPr>
          <c:txPr>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181156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Students</a:t>
            </a:r>
            <a:r>
              <a:rPr lang="en-US" baseline="0">
                <a:solidFill>
                  <a:sysClr val="windowText" lastClr="000000"/>
                </a:solidFill>
                <a:latin typeface="Times New Roman" panose="02020603050405020304" pitchFamily="18" charset="0"/>
                <a:cs typeface="Times New Roman" panose="02020603050405020304" pitchFamily="18" charset="0"/>
              </a:rPr>
              <a:t> Who Met the State SAT/ACT Criterion</a:t>
            </a:r>
            <a:endParaRPr lang="en-US">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15839860703686551"/>
          <c:y val="2.034587995930824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Sheet10!$B$2</c:f>
              <c:strCache>
                <c:ptCount val="1"/>
                <c:pt idx="0">
                  <c:v>Charter</c:v>
                </c:pt>
              </c:strCache>
            </c:strRef>
          </c:tx>
          <c:spPr>
            <a:pattFill prst="trellis">
              <a:fgClr>
                <a:srgbClr val="00B0F0"/>
              </a:fgClr>
              <a:bgClr>
                <a:schemeClr val="bg1"/>
              </a:bgClr>
            </a:pattFill>
            <a:ln>
              <a:noFill/>
            </a:ln>
            <a:effectLst/>
          </c:spPr>
          <c:invertIfNegative val="0"/>
          <c:cat>
            <c:strRef>
              <c:f>Sheet10!$A$3:$A$7</c:f>
              <c:strCache>
                <c:ptCount val="5"/>
                <c:pt idx="0">
                  <c:v>NE Pair</c:v>
                </c:pt>
                <c:pt idx="1">
                  <c:v>S Pair</c:v>
                </c:pt>
                <c:pt idx="2">
                  <c:v>N Pair</c:v>
                </c:pt>
                <c:pt idx="3">
                  <c:v>SW Pair</c:v>
                </c:pt>
                <c:pt idx="4">
                  <c:v>E Pair</c:v>
                </c:pt>
              </c:strCache>
            </c:strRef>
          </c:cat>
          <c:val>
            <c:numRef>
              <c:f>Sheet10!$B$3:$B$7</c:f>
              <c:numCache>
                <c:formatCode>0.0%</c:formatCode>
                <c:ptCount val="5"/>
                <c:pt idx="0">
                  <c:v>8.8999999999999996E-2</c:v>
                </c:pt>
                <c:pt idx="1">
                  <c:v>9.2999999999999999E-2</c:v>
                </c:pt>
                <c:pt idx="2">
                  <c:v>0.22900000000000001</c:v>
                </c:pt>
                <c:pt idx="3">
                  <c:v>0.249</c:v>
                </c:pt>
                <c:pt idx="4">
                  <c:v>0.16200000000000001</c:v>
                </c:pt>
              </c:numCache>
            </c:numRef>
          </c:val>
          <c:extLst>
            <c:ext xmlns:c16="http://schemas.microsoft.com/office/drawing/2014/chart" uri="{C3380CC4-5D6E-409C-BE32-E72D297353CC}">
              <c16:uniqueId val="{00000000-83D7-4BFA-9751-4DEB682C15B3}"/>
            </c:ext>
          </c:extLst>
        </c:ser>
        <c:ser>
          <c:idx val="1"/>
          <c:order val="1"/>
          <c:tx>
            <c:strRef>
              <c:f>Sheet10!$C$2</c:f>
              <c:strCache>
                <c:ptCount val="1"/>
                <c:pt idx="0">
                  <c:v>TPS</c:v>
                </c:pt>
              </c:strCache>
            </c:strRef>
          </c:tx>
          <c:spPr>
            <a:pattFill prst="pct90">
              <a:fgClr>
                <a:srgbClr val="FF9933"/>
              </a:fgClr>
              <a:bgClr>
                <a:schemeClr val="bg1"/>
              </a:bgClr>
            </a:pattFill>
            <a:ln>
              <a:noFill/>
            </a:ln>
            <a:effectLst/>
          </c:spPr>
          <c:invertIfNegative val="0"/>
          <c:cat>
            <c:strRef>
              <c:f>Sheet10!$A$3:$A$7</c:f>
              <c:strCache>
                <c:ptCount val="5"/>
                <c:pt idx="0">
                  <c:v>NE Pair</c:v>
                </c:pt>
                <c:pt idx="1">
                  <c:v>S Pair</c:v>
                </c:pt>
                <c:pt idx="2">
                  <c:v>N Pair</c:v>
                </c:pt>
                <c:pt idx="3">
                  <c:v>SW Pair</c:v>
                </c:pt>
                <c:pt idx="4">
                  <c:v>E Pair</c:v>
                </c:pt>
              </c:strCache>
            </c:strRef>
          </c:cat>
          <c:val>
            <c:numRef>
              <c:f>Sheet10!$C$3:$C$7</c:f>
              <c:numCache>
                <c:formatCode>0.0%</c:formatCode>
                <c:ptCount val="5"/>
                <c:pt idx="0">
                  <c:v>4.3999999999999997E-2</c:v>
                </c:pt>
                <c:pt idx="1">
                  <c:v>4.5999999999999999E-2</c:v>
                </c:pt>
                <c:pt idx="2">
                  <c:v>4.1000000000000002E-2</c:v>
                </c:pt>
                <c:pt idx="3">
                  <c:v>9.8000000000000004E-2</c:v>
                </c:pt>
                <c:pt idx="4">
                  <c:v>6.7000000000000004E-2</c:v>
                </c:pt>
              </c:numCache>
            </c:numRef>
          </c:val>
          <c:extLst>
            <c:ext xmlns:c16="http://schemas.microsoft.com/office/drawing/2014/chart" uri="{C3380CC4-5D6E-409C-BE32-E72D297353CC}">
              <c16:uniqueId val="{00000001-83D7-4BFA-9751-4DEB682C15B3}"/>
            </c:ext>
          </c:extLst>
        </c:ser>
        <c:dLbls>
          <c:showLegendKey val="0"/>
          <c:showVal val="0"/>
          <c:showCatName val="0"/>
          <c:showSerName val="0"/>
          <c:showPercent val="0"/>
          <c:showBubbleSize val="0"/>
        </c:dLbls>
        <c:gapWidth val="300"/>
        <c:axId val="1628307535"/>
        <c:axId val="1628309455"/>
      </c:barChart>
      <c:lineChart>
        <c:grouping val="standard"/>
        <c:varyColors val="0"/>
        <c:ser>
          <c:idx val="2"/>
          <c:order val="2"/>
          <c:tx>
            <c:strRef>
              <c:f>Sheet10!$D$2</c:f>
              <c:strCache>
                <c:ptCount val="1"/>
                <c:pt idx="0">
                  <c:v>Sample Average</c:v>
                </c:pt>
              </c:strCache>
            </c:strRef>
          </c:tx>
          <c:spPr>
            <a:ln w="28575" cap="rnd">
              <a:solidFill>
                <a:srgbClr val="FF3399"/>
              </a:solidFill>
              <a:round/>
            </a:ln>
            <a:effectLst/>
          </c:spPr>
          <c:marker>
            <c:symbol val="none"/>
          </c:marker>
          <c:cat>
            <c:strRef>
              <c:f>Sheet10!$A$3:$A$7</c:f>
              <c:strCache>
                <c:ptCount val="5"/>
                <c:pt idx="0">
                  <c:v>NE Pair</c:v>
                </c:pt>
                <c:pt idx="1">
                  <c:v>S Pair</c:v>
                </c:pt>
                <c:pt idx="2">
                  <c:v>N Pair</c:v>
                </c:pt>
                <c:pt idx="3">
                  <c:v>SW Pair</c:v>
                </c:pt>
                <c:pt idx="4">
                  <c:v>E Pair</c:v>
                </c:pt>
              </c:strCache>
            </c:strRef>
          </c:cat>
          <c:val>
            <c:numRef>
              <c:f>Sheet10!$D$3:$D$7</c:f>
              <c:numCache>
                <c:formatCode>0.0%</c:formatCode>
                <c:ptCount val="5"/>
                <c:pt idx="0">
                  <c:v>0.112</c:v>
                </c:pt>
                <c:pt idx="1">
                  <c:v>0.112</c:v>
                </c:pt>
                <c:pt idx="2">
                  <c:v>0.112</c:v>
                </c:pt>
                <c:pt idx="3">
                  <c:v>0.112</c:v>
                </c:pt>
                <c:pt idx="4">
                  <c:v>0.112</c:v>
                </c:pt>
              </c:numCache>
            </c:numRef>
          </c:val>
          <c:smooth val="0"/>
          <c:extLst>
            <c:ext xmlns:c16="http://schemas.microsoft.com/office/drawing/2014/chart" uri="{C3380CC4-5D6E-409C-BE32-E72D297353CC}">
              <c16:uniqueId val="{00000002-83D7-4BFA-9751-4DEB682C15B3}"/>
            </c:ext>
          </c:extLst>
        </c:ser>
        <c:ser>
          <c:idx val="3"/>
          <c:order val="3"/>
          <c:tx>
            <c:strRef>
              <c:f>Sheet10!$E$2</c:f>
              <c:strCache>
                <c:ptCount val="1"/>
                <c:pt idx="0">
                  <c:v>Charter Average</c:v>
                </c:pt>
              </c:strCache>
            </c:strRef>
          </c:tx>
          <c:spPr>
            <a:ln w="28575" cap="rnd">
              <a:solidFill>
                <a:srgbClr val="92D050"/>
              </a:solidFill>
              <a:prstDash val="sysDash"/>
              <a:round/>
            </a:ln>
            <a:effectLst/>
          </c:spPr>
          <c:marker>
            <c:symbol val="none"/>
          </c:marker>
          <c:cat>
            <c:strRef>
              <c:f>Sheet10!$A$3:$A$7</c:f>
              <c:strCache>
                <c:ptCount val="5"/>
                <c:pt idx="0">
                  <c:v>NE Pair</c:v>
                </c:pt>
                <c:pt idx="1">
                  <c:v>S Pair</c:v>
                </c:pt>
                <c:pt idx="2">
                  <c:v>N Pair</c:v>
                </c:pt>
                <c:pt idx="3">
                  <c:v>SW Pair</c:v>
                </c:pt>
                <c:pt idx="4">
                  <c:v>E Pair</c:v>
                </c:pt>
              </c:strCache>
            </c:strRef>
          </c:cat>
          <c:val>
            <c:numRef>
              <c:f>Sheet10!$E$3:$E$7</c:f>
              <c:numCache>
                <c:formatCode>0.0%</c:formatCode>
                <c:ptCount val="5"/>
                <c:pt idx="0">
                  <c:v>0.16400000000000001</c:v>
                </c:pt>
                <c:pt idx="1">
                  <c:v>0.16399999999999998</c:v>
                </c:pt>
                <c:pt idx="2">
                  <c:v>0.16399999999999998</c:v>
                </c:pt>
                <c:pt idx="3">
                  <c:v>0.16399999999999998</c:v>
                </c:pt>
                <c:pt idx="4">
                  <c:v>0.16399999999999998</c:v>
                </c:pt>
              </c:numCache>
            </c:numRef>
          </c:val>
          <c:smooth val="0"/>
          <c:extLst>
            <c:ext xmlns:c16="http://schemas.microsoft.com/office/drawing/2014/chart" uri="{C3380CC4-5D6E-409C-BE32-E72D297353CC}">
              <c16:uniqueId val="{00000003-83D7-4BFA-9751-4DEB682C15B3}"/>
            </c:ext>
          </c:extLst>
        </c:ser>
        <c:ser>
          <c:idx val="4"/>
          <c:order val="4"/>
          <c:tx>
            <c:strRef>
              <c:f>Sheet10!$F$2</c:f>
              <c:strCache>
                <c:ptCount val="1"/>
                <c:pt idx="0">
                  <c:v>TPS Average</c:v>
                </c:pt>
              </c:strCache>
            </c:strRef>
          </c:tx>
          <c:spPr>
            <a:ln w="28575" cap="rnd">
              <a:solidFill>
                <a:schemeClr val="tx1"/>
              </a:solidFill>
              <a:prstDash val="sysDot"/>
              <a:round/>
            </a:ln>
            <a:effectLst/>
          </c:spPr>
          <c:marker>
            <c:symbol val="none"/>
          </c:marker>
          <c:cat>
            <c:strRef>
              <c:f>Sheet10!$A$3:$A$7</c:f>
              <c:strCache>
                <c:ptCount val="5"/>
                <c:pt idx="0">
                  <c:v>NE Pair</c:v>
                </c:pt>
                <c:pt idx="1">
                  <c:v>S Pair</c:v>
                </c:pt>
                <c:pt idx="2">
                  <c:v>N Pair</c:v>
                </c:pt>
                <c:pt idx="3">
                  <c:v>SW Pair</c:v>
                </c:pt>
                <c:pt idx="4">
                  <c:v>E Pair</c:v>
                </c:pt>
              </c:strCache>
            </c:strRef>
          </c:cat>
          <c:val>
            <c:numRef>
              <c:f>Sheet10!$F$3:$F$7</c:f>
              <c:numCache>
                <c:formatCode>0.0%</c:formatCode>
                <c:ptCount val="5"/>
                <c:pt idx="0">
                  <c:v>5.8999999999999997E-2</c:v>
                </c:pt>
                <c:pt idx="1">
                  <c:v>5.8999999999999997E-2</c:v>
                </c:pt>
                <c:pt idx="2">
                  <c:v>5.8999999999999997E-2</c:v>
                </c:pt>
                <c:pt idx="3">
                  <c:v>5.8999999999999997E-2</c:v>
                </c:pt>
                <c:pt idx="4">
                  <c:v>5.8999999999999997E-2</c:v>
                </c:pt>
              </c:numCache>
            </c:numRef>
          </c:val>
          <c:smooth val="0"/>
          <c:extLst>
            <c:ext xmlns:c16="http://schemas.microsoft.com/office/drawing/2014/chart" uri="{C3380CC4-5D6E-409C-BE32-E72D297353CC}">
              <c16:uniqueId val="{00000004-83D7-4BFA-9751-4DEB682C15B3}"/>
            </c:ext>
          </c:extLst>
        </c:ser>
        <c:dLbls>
          <c:showLegendKey val="0"/>
          <c:showVal val="0"/>
          <c:showCatName val="0"/>
          <c:showSerName val="0"/>
          <c:showPercent val="0"/>
          <c:showBubbleSize val="0"/>
        </c:dLbls>
        <c:marker val="1"/>
        <c:smooth val="0"/>
        <c:axId val="1628307535"/>
        <c:axId val="1628309455"/>
      </c:lineChart>
      <c:catAx>
        <c:axId val="1628307535"/>
        <c:scaling>
          <c:orientation val="minMax"/>
        </c:scaling>
        <c:delete val="0"/>
        <c:axPos val="b"/>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050">
                    <a:solidFill>
                      <a:sysClr val="windowText" lastClr="000000"/>
                    </a:solidFill>
                    <a:latin typeface="Times New Roman" panose="02020603050405020304" pitchFamily="18" charset="0"/>
                    <a:cs typeface="Times New Roman" panose="02020603050405020304" pitchFamily="18" charset="0"/>
                  </a:rPr>
                  <a:t>Geographic </a:t>
                </a:r>
                <a:r>
                  <a:rPr lang="en-US" sz="1050" baseline="0">
                    <a:solidFill>
                      <a:sysClr val="windowText" lastClr="000000"/>
                    </a:solidFill>
                    <a:latin typeface="Times New Roman" panose="02020603050405020304" pitchFamily="18" charset="0"/>
                    <a:cs typeface="Times New Roman" panose="02020603050405020304" pitchFamily="18" charset="0"/>
                  </a:rPr>
                  <a:t>Pairs</a:t>
                </a:r>
                <a:endParaRPr lang="en-US" sz="1050">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2983035698969001"/>
              <c:y val="0.93192594313299837"/>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28309455"/>
        <c:crosses val="autoZero"/>
        <c:auto val="1"/>
        <c:lblAlgn val="ctr"/>
        <c:lblOffset val="100"/>
        <c:noMultiLvlLbl val="0"/>
      </c:catAx>
      <c:valAx>
        <c:axId val="1628309455"/>
        <c:scaling>
          <c:orientation val="minMax"/>
          <c:max val="0.28000000000000003"/>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050">
                    <a:solidFill>
                      <a:sysClr val="windowText" lastClr="000000"/>
                    </a:solidFill>
                    <a:latin typeface="Times New Roman" panose="02020603050405020304" pitchFamily="18" charset="0"/>
                    <a:cs typeface="Times New Roman" panose="02020603050405020304" pitchFamily="18" charset="0"/>
                  </a:rPr>
                  <a:t>SAT/ACT Criterion Met (%)</a:t>
                </a:r>
              </a:p>
            </c:rich>
          </c:tx>
          <c:layout>
            <c:manualLayout>
              <c:xMode val="edge"/>
              <c:yMode val="edge"/>
              <c:x val="2.0072736006038462E-2"/>
              <c:y val="0.2418524362989723"/>
            </c:manualLayout>
          </c:layout>
          <c:overlay val="0"/>
          <c:spPr>
            <a:noFill/>
            <a:ln>
              <a:noFill/>
            </a:ln>
            <a:effectLst/>
          </c:spPr>
          <c:txPr>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28307535"/>
        <c:crosses val="autoZero"/>
        <c:crossBetween val="between"/>
        <c:majorUnit val="4.0000000000000008E-2"/>
      </c:valAx>
      <c:spPr>
        <a:no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Students Who Demonstrated</a:t>
            </a:r>
            <a:r>
              <a:rPr lang="en-US" baseline="0">
                <a:solidFill>
                  <a:sysClr val="windowText" lastClr="000000"/>
                </a:solidFill>
                <a:latin typeface="Times New Roman" panose="02020603050405020304" pitchFamily="18" charset="0"/>
                <a:cs typeface="Times New Roman" panose="02020603050405020304" pitchFamily="18" charset="0"/>
              </a:rPr>
              <a:t> </a:t>
            </a:r>
            <a:r>
              <a:rPr lang="en-US">
                <a:solidFill>
                  <a:sysClr val="windowText" lastClr="000000"/>
                </a:solidFill>
                <a:latin typeface="Times New Roman" panose="02020603050405020304" pitchFamily="18" charset="0"/>
                <a:cs typeface="Times New Roman" panose="02020603050405020304" pitchFamily="18" charset="0"/>
              </a:rPr>
              <a:t>College Readiness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Sheet10!$B$10</c:f>
              <c:strCache>
                <c:ptCount val="1"/>
                <c:pt idx="0">
                  <c:v>Charter</c:v>
                </c:pt>
              </c:strCache>
            </c:strRef>
          </c:tx>
          <c:spPr>
            <a:pattFill prst="trellis">
              <a:fgClr>
                <a:srgbClr val="00B0F0"/>
              </a:fgClr>
              <a:bgClr>
                <a:schemeClr val="bg1"/>
              </a:bgClr>
            </a:pattFill>
            <a:ln>
              <a:noFill/>
            </a:ln>
            <a:effectLst/>
          </c:spPr>
          <c:invertIfNegative val="0"/>
          <c:cat>
            <c:strRef>
              <c:f>Sheet10!$A$11:$A$15</c:f>
              <c:strCache>
                <c:ptCount val="5"/>
                <c:pt idx="0">
                  <c:v>NE Pair</c:v>
                </c:pt>
                <c:pt idx="1">
                  <c:v>S Pair</c:v>
                </c:pt>
                <c:pt idx="2">
                  <c:v>N Pair</c:v>
                </c:pt>
                <c:pt idx="3">
                  <c:v>SW Pair</c:v>
                </c:pt>
                <c:pt idx="4">
                  <c:v>E Pair</c:v>
                </c:pt>
              </c:strCache>
            </c:strRef>
          </c:cat>
          <c:val>
            <c:numRef>
              <c:f>Sheet10!$B$11:$B$15</c:f>
              <c:numCache>
                <c:formatCode>0.0%</c:formatCode>
                <c:ptCount val="5"/>
                <c:pt idx="0">
                  <c:v>0.98299999999999998</c:v>
                </c:pt>
                <c:pt idx="1">
                  <c:v>0.97</c:v>
                </c:pt>
                <c:pt idx="2">
                  <c:v>0.99099999999999999</c:v>
                </c:pt>
                <c:pt idx="3">
                  <c:v>0.96900000000000008</c:v>
                </c:pt>
                <c:pt idx="4">
                  <c:v>0.97</c:v>
                </c:pt>
              </c:numCache>
            </c:numRef>
          </c:val>
          <c:extLst>
            <c:ext xmlns:c16="http://schemas.microsoft.com/office/drawing/2014/chart" uri="{C3380CC4-5D6E-409C-BE32-E72D297353CC}">
              <c16:uniqueId val="{00000000-4F2A-4126-B50D-E7833B4D2C2A}"/>
            </c:ext>
          </c:extLst>
        </c:ser>
        <c:ser>
          <c:idx val="1"/>
          <c:order val="1"/>
          <c:tx>
            <c:strRef>
              <c:f>Sheet10!$C$10</c:f>
              <c:strCache>
                <c:ptCount val="1"/>
                <c:pt idx="0">
                  <c:v>TPS</c:v>
                </c:pt>
              </c:strCache>
            </c:strRef>
          </c:tx>
          <c:spPr>
            <a:pattFill prst="pct90">
              <a:fgClr>
                <a:srgbClr val="FF9933"/>
              </a:fgClr>
              <a:bgClr>
                <a:schemeClr val="bg1"/>
              </a:bgClr>
            </a:pattFill>
            <a:ln>
              <a:noFill/>
            </a:ln>
            <a:effectLst/>
          </c:spPr>
          <c:invertIfNegative val="0"/>
          <c:cat>
            <c:strRef>
              <c:f>Sheet10!$A$11:$A$15</c:f>
              <c:strCache>
                <c:ptCount val="5"/>
                <c:pt idx="0">
                  <c:v>NE Pair</c:v>
                </c:pt>
                <c:pt idx="1">
                  <c:v>S Pair</c:v>
                </c:pt>
                <c:pt idx="2">
                  <c:v>N Pair</c:v>
                </c:pt>
                <c:pt idx="3">
                  <c:v>SW Pair</c:v>
                </c:pt>
                <c:pt idx="4">
                  <c:v>E Pair</c:v>
                </c:pt>
              </c:strCache>
            </c:strRef>
          </c:cat>
          <c:val>
            <c:numRef>
              <c:f>Sheet10!$C$11:$C$15</c:f>
              <c:numCache>
                <c:formatCode>0.0%</c:formatCode>
                <c:ptCount val="5"/>
                <c:pt idx="0">
                  <c:v>0.79</c:v>
                </c:pt>
                <c:pt idx="1">
                  <c:v>0.72199999999999998</c:v>
                </c:pt>
                <c:pt idx="2">
                  <c:v>0.83499999999999996</c:v>
                </c:pt>
                <c:pt idx="3">
                  <c:v>0.77599999999999991</c:v>
                </c:pt>
                <c:pt idx="4">
                  <c:v>0.77200000000000002</c:v>
                </c:pt>
              </c:numCache>
            </c:numRef>
          </c:val>
          <c:extLst>
            <c:ext xmlns:c16="http://schemas.microsoft.com/office/drawing/2014/chart" uri="{C3380CC4-5D6E-409C-BE32-E72D297353CC}">
              <c16:uniqueId val="{00000001-4F2A-4126-B50D-E7833B4D2C2A}"/>
            </c:ext>
          </c:extLst>
        </c:ser>
        <c:dLbls>
          <c:showLegendKey val="0"/>
          <c:showVal val="0"/>
          <c:showCatName val="0"/>
          <c:showSerName val="0"/>
          <c:showPercent val="0"/>
          <c:showBubbleSize val="0"/>
        </c:dLbls>
        <c:gapWidth val="150"/>
        <c:axId val="1740335967"/>
        <c:axId val="1740341727"/>
      </c:barChart>
      <c:lineChart>
        <c:grouping val="standard"/>
        <c:varyColors val="0"/>
        <c:ser>
          <c:idx val="2"/>
          <c:order val="2"/>
          <c:tx>
            <c:strRef>
              <c:f>Sheet10!$D$10</c:f>
              <c:strCache>
                <c:ptCount val="1"/>
                <c:pt idx="0">
                  <c:v>Sample Average</c:v>
                </c:pt>
              </c:strCache>
            </c:strRef>
          </c:tx>
          <c:spPr>
            <a:ln w="28575" cap="rnd">
              <a:solidFill>
                <a:srgbClr val="FF3399"/>
              </a:solidFill>
              <a:round/>
            </a:ln>
            <a:effectLst/>
          </c:spPr>
          <c:marker>
            <c:symbol val="none"/>
          </c:marker>
          <c:cat>
            <c:strRef>
              <c:f>Sheet10!$A$11:$A$15</c:f>
              <c:strCache>
                <c:ptCount val="5"/>
                <c:pt idx="0">
                  <c:v>NE Pair</c:v>
                </c:pt>
                <c:pt idx="1">
                  <c:v>S Pair</c:v>
                </c:pt>
                <c:pt idx="2">
                  <c:v>N Pair</c:v>
                </c:pt>
                <c:pt idx="3">
                  <c:v>SW Pair</c:v>
                </c:pt>
                <c:pt idx="4">
                  <c:v>E Pair</c:v>
                </c:pt>
              </c:strCache>
            </c:strRef>
          </c:cat>
          <c:val>
            <c:numRef>
              <c:f>Sheet10!$D$11:$D$15</c:f>
              <c:numCache>
                <c:formatCode>0.0%</c:formatCode>
                <c:ptCount val="5"/>
                <c:pt idx="0">
                  <c:v>0.878</c:v>
                </c:pt>
                <c:pt idx="1">
                  <c:v>0.878</c:v>
                </c:pt>
                <c:pt idx="2">
                  <c:v>0.878</c:v>
                </c:pt>
                <c:pt idx="3">
                  <c:v>0.878</c:v>
                </c:pt>
                <c:pt idx="4">
                  <c:v>0.878</c:v>
                </c:pt>
              </c:numCache>
            </c:numRef>
          </c:val>
          <c:smooth val="0"/>
          <c:extLst>
            <c:ext xmlns:c16="http://schemas.microsoft.com/office/drawing/2014/chart" uri="{C3380CC4-5D6E-409C-BE32-E72D297353CC}">
              <c16:uniqueId val="{00000002-4F2A-4126-B50D-E7833B4D2C2A}"/>
            </c:ext>
          </c:extLst>
        </c:ser>
        <c:ser>
          <c:idx val="3"/>
          <c:order val="3"/>
          <c:tx>
            <c:strRef>
              <c:f>Sheet10!$E$10</c:f>
              <c:strCache>
                <c:ptCount val="1"/>
                <c:pt idx="0">
                  <c:v>Charter Average</c:v>
                </c:pt>
              </c:strCache>
            </c:strRef>
          </c:tx>
          <c:spPr>
            <a:ln w="28575" cap="rnd">
              <a:solidFill>
                <a:srgbClr val="92D050"/>
              </a:solidFill>
              <a:prstDash val="dash"/>
              <a:round/>
            </a:ln>
            <a:effectLst/>
          </c:spPr>
          <c:marker>
            <c:symbol val="none"/>
          </c:marker>
          <c:cat>
            <c:strRef>
              <c:f>Sheet10!$A$11:$A$15</c:f>
              <c:strCache>
                <c:ptCount val="5"/>
                <c:pt idx="0">
                  <c:v>NE Pair</c:v>
                </c:pt>
                <c:pt idx="1">
                  <c:v>S Pair</c:v>
                </c:pt>
                <c:pt idx="2">
                  <c:v>N Pair</c:v>
                </c:pt>
                <c:pt idx="3">
                  <c:v>SW Pair</c:v>
                </c:pt>
                <c:pt idx="4">
                  <c:v>E Pair</c:v>
                </c:pt>
              </c:strCache>
            </c:strRef>
          </c:cat>
          <c:val>
            <c:numRef>
              <c:f>Sheet10!$E$11:$E$15</c:f>
              <c:numCache>
                <c:formatCode>0.0%</c:formatCode>
                <c:ptCount val="5"/>
                <c:pt idx="0">
                  <c:v>0.97799999999999998</c:v>
                </c:pt>
                <c:pt idx="1">
                  <c:v>0.97799999999999998</c:v>
                </c:pt>
                <c:pt idx="2">
                  <c:v>0.97799999999999998</c:v>
                </c:pt>
                <c:pt idx="3">
                  <c:v>0.97799999999999998</c:v>
                </c:pt>
                <c:pt idx="4">
                  <c:v>0.97799999999999998</c:v>
                </c:pt>
              </c:numCache>
            </c:numRef>
          </c:val>
          <c:smooth val="0"/>
          <c:extLst>
            <c:ext xmlns:c16="http://schemas.microsoft.com/office/drawing/2014/chart" uri="{C3380CC4-5D6E-409C-BE32-E72D297353CC}">
              <c16:uniqueId val="{00000003-4F2A-4126-B50D-E7833B4D2C2A}"/>
            </c:ext>
          </c:extLst>
        </c:ser>
        <c:ser>
          <c:idx val="4"/>
          <c:order val="4"/>
          <c:tx>
            <c:strRef>
              <c:f>Sheet10!$F$10</c:f>
              <c:strCache>
                <c:ptCount val="1"/>
                <c:pt idx="0">
                  <c:v>TPS Average</c:v>
                </c:pt>
              </c:strCache>
            </c:strRef>
          </c:tx>
          <c:spPr>
            <a:ln w="28575" cap="rnd">
              <a:solidFill>
                <a:schemeClr val="tx1"/>
              </a:solidFill>
              <a:prstDash val="sysDot"/>
              <a:round/>
            </a:ln>
            <a:effectLst/>
          </c:spPr>
          <c:marker>
            <c:symbol val="none"/>
          </c:marker>
          <c:cat>
            <c:strRef>
              <c:f>Sheet10!$A$11:$A$15</c:f>
              <c:strCache>
                <c:ptCount val="5"/>
                <c:pt idx="0">
                  <c:v>NE Pair</c:v>
                </c:pt>
                <c:pt idx="1">
                  <c:v>S Pair</c:v>
                </c:pt>
                <c:pt idx="2">
                  <c:v>N Pair</c:v>
                </c:pt>
                <c:pt idx="3">
                  <c:v>SW Pair</c:v>
                </c:pt>
                <c:pt idx="4">
                  <c:v>E Pair</c:v>
                </c:pt>
              </c:strCache>
            </c:strRef>
          </c:cat>
          <c:val>
            <c:numRef>
              <c:f>Sheet10!$F$11:$F$15</c:f>
              <c:numCache>
                <c:formatCode>0.0%</c:formatCode>
                <c:ptCount val="5"/>
                <c:pt idx="0">
                  <c:v>0.78099999999999992</c:v>
                </c:pt>
                <c:pt idx="1">
                  <c:v>0.78099999999999992</c:v>
                </c:pt>
                <c:pt idx="2">
                  <c:v>0.78099999999999992</c:v>
                </c:pt>
                <c:pt idx="3">
                  <c:v>0.78099999999999992</c:v>
                </c:pt>
                <c:pt idx="4">
                  <c:v>0.78099999999999992</c:v>
                </c:pt>
              </c:numCache>
            </c:numRef>
          </c:val>
          <c:smooth val="0"/>
          <c:extLst>
            <c:ext xmlns:c16="http://schemas.microsoft.com/office/drawing/2014/chart" uri="{C3380CC4-5D6E-409C-BE32-E72D297353CC}">
              <c16:uniqueId val="{00000004-4F2A-4126-B50D-E7833B4D2C2A}"/>
            </c:ext>
          </c:extLst>
        </c:ser>
        <c:dLbls>
          <c:showLegendKey val="0"/>
          <c:showVal val="0"/>
          <c:showCatName val="0"/>
          <c:showSerName val="0"/>
          <c:showPercent val="0"/>
          <c:showBubbleSize val="0"/>
        </c:dLbls>
        <c:marker val="1"/>
        <c:smooth val="0"/>
        <c:axId val="1740335967"/>
        <c:axId val="1740341727"/>
      </c:lineChart>
      <c:catAx>
        <c:axId val="17403359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50">
                    <a:solidFill>
                      <a:sysClr val="windowText" lastClr="000000"/>
                    </a:solidFill>
                    <a:latin typeface="Times New Roman" panose="02020603050405020304" pitchFamily="18" charset="0"/>
                    <a:cs typeface="Times New Roman" panose="02020603050405020304" pitchFamily="18" charset="0"/>
                  </a:rPr>
                  <a:t>Geographic</a:t>
                </a:r>
                <a:r>
                  <a:rPr lang="en-US" sz="1050" baseline="0">
                    <a:solidFill>
                      <a:sysClr val="windowText" lastClr="000000"/>
                    </a:solidFill>
                    <a:latin typeface="Times New Roman" panose="02020603050405020304" pitchFamily="18" charset="0"/>
                    <a:cs typeface="Times New Roman" panose="02020603050405020304" pitchFamily="18" charset="0"/>
                  </a:rPr>
                  <a:t> Pairs</a:t>
                </a:r>
                <a:endParaRPr lang="en-US" sz="105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40341727"/>
        <c:crosses val="autoZero"/>
        <c:auto val="1"/>
        <c:lblAlgn val="ctr"/>
        <c:lblOffset val="100"/>
        <c:noMultiLvlLbl val="0"/>
      </c:catAx>
      <c:valAx>
        <c:axId val="1740341727"/>
        <c:scaling>
          <c:orientation val="minMax"/>
          <c:max val="1"/>
          <c:min val="0.70000000000000007"/>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050">
                    <a:solidFill>
                      <a:sysClr val="windowText" lastClr="000000"/>
                    </a:solidFill>
                    <a:latin typeface="Times New Roman" panose="02020603050405020304" pitchFamily="18" charset="0"/>
                    <a:cs typeface="Times New Roman" panose="02020603050405020304" pitchFamily="18" charset="0"/>
                  </a:rPr>
                  <a:t>College</a:t>
                </a:r>
                <a:r>
                  <a:rPr lang="en-US" sz="1050" baseline="0">
                    <a:solidFill>
                      <a:sysClr val="windowText" lastClr="000000"/>
                    </a:solidFill>
                    <a:latin typeface="Times New Roman" panose="02020603050405020304" pitchFamily="18" charset="0"/>
                    <a:cs typeface="Times New Roman" panose="02020603050405020304" pitchFamily="18" charset="0"/>
                  </a:rPr>
                  <a:t> Readiness (%)</a:t>
                </a:r>
                <a:endParaRPr lang="en-US" sz="1050">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403359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3491</Words>
  <Characters>19901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Tricia Francisco</dc:creator>
  <cp:keywords/>
  <dc:description/>
  <cp:lastModifiedBy>Tricia Francisco</cp:lastModifiedBy>
  <cp:revision>3</cp:revision>
  <dcterms:created xsi:type="dcterms:W3CDTF">2026-04-26T20:10:00Z</dcterms:created>
  <dcterms:modified xsi:type="dcterms:W3CDTF">2026-04-26T20:15:00Z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4d095b67-c6fb-4cda-89bc-c3cfb6d99abf</vt:lpwstr>
  </property>
</Properties>
</file>