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07BC" w:rsidRPr="00831E1A" w14:paraId="6595A80D" w14:textId="77777777" w:rsidTr="00D53CF1">
        <w:tc>
          <w:tcPr>
            <w:tcW w:w="3116" w:type="dxa"/>
          </w:tcPr>
          <w:p w14:paraId="1B9E151C" w14:textId="77777777" w:rsidR="005007BC" w:rsidRPr="00831E1A" w:rsidRDefault="005007BC" w:rsidP="00D53CF1">
            <w:pPr>
              <w:pStyle w:val="Teaser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A9CA598" w14:textId="77777777" w:rsidR="005007BC" w:rsidRPr="00831E1A" w:rsidRDefault="005007BC" w:rsidP="00D53CF1">
            <w:pPr>
              <w:pStyle w:val="Teaser"/>
              <w:spacing w:line="480" w:lineRule="auto"/>
              <w:rPr>
                <w:rFonts w:ascii="Arial" w:hAnsi="Arial" w:cs="Arial"/>
              </w:rPr>
            </w:pPr>
            <w:r w:rsidRPr="00831E1A">
              <w:rPr>
                <w:rFonts w:ascii="Arial" w:hAnsi="Arial" w:cs="Arial"/>
              </w:rPr>
              <w:t>ADR-associated proteins (ARPs)</w:t>
            </w:r>
          </w:p>
        </w:tc>
        <w:tc>
          <w:tcPr>
            <w:tcW w:w="3117" w:type="dxa"/>
          </w:tcPr>
          <w:p w14:paraId="06898A92" w14:textId="77777777" w:rsidR="005007BC" w:rsidRPr="00831E1A" w:rsidRDefault="005007BC" w:rsidP="00D53CF1">
            <w:pPr>
              <w:pStyle w:val="Teaser"/>
              <w:spacing w:line="480" w:lineRule="auto"/>
              <w:rPr>
                <w:rFonts w:ascii="Arial" w:hAnsi="Arial" w:cs="Arial"/>
              </w:rPr>
            </w:pPr>
            <w:r w:rsidRPr="00831E1A">
              <w:rPr>
                <w:rFonts w:ascii="Arial" w:hAnsi="Arial" w:cs="Arial"/>
              </w:rPr>
              <w:t>Proteins on a shortest path between drug target and ADR-gene (SPs)</w:t>
            </w:r>
          </w:p>
        </w:tc>
      </w:tr>
      <w:tr w:rsidR="005007BC" w:rsidRPr="00831E1A" w14:paraId="3F3B0E3F" w14:textId="77777777" w:rsidTr="00D53CF1">
        <w:tc>
          <w:tcPr>
            <w:tcW w:w="3116" w:type="dxa"/>
          </w:tcPr>
          <w:p w14:paraId="395CF096" w14:textId="77777777" w:rsidR="005007BC" w:rsidRPr="00831E1A" w:rsidRDefault="005007BC" w:rsidP="00D53CF1">
            <w:pPr>
              <w:pStyle w:val="Teaser"/>
              <w:spacing w:line="480" w:lineRule="auto"/>
              <w:rPr>
                <w:rFonts w:ascii="Arial" w:hAnsi="Arial" w:cs="Arial"/>
              </w:rPr>
            </w:pPr>
            <w:r w:rsidRPr="00831E1A">
              <w:rPr>
                <w:rFonts w:ascii="Arial" w:hAnsi="Arial" w:cs="Arial"/>
              </w:rPr>
              <w:t>Drug pairs documented in TWOSIDES / Total predicted drug pairs</w:t>
            </w:r>
          </w:p>
        </w:tc>
        <w:tc>
          <w:tcPr>
            <w:tcW w:w="3117" w:type="dxa"/>
          </w:tcPr>
          <w:p w14:paraId="3D86799E" w14:textId="77777777" w:rsidR="005007BC" w:rsidRPr="00831E1A" w:rsidRDefault="005007BC" w:rsidP="00D53CF1">
            <w:pPr>
              <w:pStyle w:val="Teaser"/>
              <w:spacing w:line="480" w:lineRule="auto"/>
              <w:rPr>
                <w:rFonts w:ascii="Arial" w:hAnsi="Arial" w:cs="Arial"/>
              </w:rPr>
            </w:pPr>
            <w:r w:rsidRPr="00831E1A">
              <w:rPr>
                <w:rFonts w:ascii="Arial" w:hAnsi="Arial" w:cs="Arial"/>
              </w:rPr>
              <w:t>405 / 5,246 (7.7%)</w:t>
            </w:r>
          </w:p>
        </w:tc>
        <w:tc>
          <w:tcPr>
            <w:tcW w:w="3117" w:type="dxa"/>
          </w:tcPr>
          <w:p w14:paraId="6AF4750B" w14:textId="77777777" w:rsidR="005007BC" w:rsidRPr="00831E1A" w:rsidRDefault="005007BC" w:rsidP="00D53CF1">
            <w:pPr>
              <w:pStyle w:val="Teaser"/>
              <w:spacing w:line="480" w:lineRule="auto"/>
              <w:rPr>
                <w:rFonts w:ascii="Arial" w:hAnsi="Arial" w:cs="Arial"/>
              </w:rPr>
            </w:pPr>
            <w:r w:rsidRPr="00831E1A">
              <w:rPr>
                <w:rFonts w:ascii="Arial" w:hAnsi="Arial" w:cs="Arial"/>
              </w:rPr>
              <w:t>964/11,904 (8.1%)</w:t>
            </w:r>
          </w:p>
        </w:tc>
      </w:tr>
      <w:tr w:rsidR="005007BC" w:rsidRPr="00831E1A" w14:paraId="3BA54EF1" w14:textId="77777777" w:rsidTr="00D53CF1">
        <w:tc>
          <w:tcPr>
            <w:tcW w:w="3116" w:type="dxa"/>
          </w:tcPr>
          <w:p w14:paraId="579E6C6A" w14:textId="77777777" w:rsidR="005007BC" w:rsidRPr="00831E1A" w:rsidRDefault="005007BC" w:rsidP="00D53CF1">
            <w:pPr>
              <w:pStyle w:val="Teaser"/>
              <w:spacing w:line="480" w:lineRule="auto"/>
              <w:rPr>
                <w:rFonts w:ascii="Arial" w:hAnsi="Arial" w:cs="Arial"/>
              </w:rPr>
            </w:pPr>
            <w:r w:rsidRPr="00831E1A">
              <w:rPr>
                <w:rFonts w:ascii="Arial" w:hAnsi="Arial" w:cs="Arial"/>
              </w:rPr>
              <w:t>Drug-drug-ADR triplet in TWOSIDES / Predicted drug-drug-ADR triplets</w:t>
            </w:r>
          </w:p>
        </w:tc>
        <w:tc>
          <w:tcPr>
            <w:tcW w:w="3117" w:type="dxa"/>
          </w:tcPr>
          <w:p w14:paraId="73B1FD11" w14:textId="77777777" w:rsidR="005007BC" w:rsidRPr="00831E1A" w:rsidRDefault="005007BC" w:rsidP="00D53CF1">
            <w:pPr>
              <w:pStyle w:val="Teaser"/>
              <w:spacing w:line="480" w:lineRule="auto"/>
              <w:rPr>
                <w:rFonts w:ascii="Arial" w:hAnsi="Arial" w:cs="Arial"/>
              </w:rPr>
            </w:pPr>
            <w:r w:rsidRPr="00831E1A">
              <w:rPr>
                <w:rFonts w:ascii="Arial" w:hAnsi="Arial" w:cs="Arial"/>
              </w:rPr>
              <w:t>368 / 456 (80.7%)</w:t>
            </w:r>
          </w:p>
        </w:tc>
        <w:tc>
          <w:tcPr>
            <w:tcW w:w="3117" w:type="dxa"/>
          </w:tcPr>
          <w:p w14:paraId="0E4657DC" w14:textId="77777777" w:rsidR="005007BC" w:rsidRPr="00831E1A" w:rsidRDefault="005007BC" w:rsidP="00D53CF1">
            <w:pPr>
              <w:pStyle w:val="Teaser"/>
              <w:spacing w:line="480" w:lineRule="auto"/>
              <w:rPr>
                <w:rFonts w:ascii="Arial" w:hAnsi="Arial" w:cs="Arial"/>
              </w:rPr>
            </w:pPr>
            <w:r w:rsidRPr="00831E1A">
              <w:rPr>
                <w:rFonts w:ascii="Arial" w:hAnsi="Arial" w:cs="Arial"/>
              </w:rPr>
              <w:t>786 / 1,565 (50.2%)</w:t>
            </w:r>
          </w:p>
        </w:tc>
      </w:tr>
    </w:tbl>
    <w:p w14:paraId="4FD239FC" w14:textId="77777777" w:rsidR="005007BC" w:rsidRPr="00831E1A" w:rsidRDefault="005007BC" w:rsidP="005007BC">
      <w:pPr>
        <w:pStyle w:val="Teaser"/>
        <w:spacing w:line="480" w:lineRule="auto"/>
        <w:rPr>
          <w:rFonts w:ascii="Arial" w:hAnsi="Arial" w:cs="Arial"/>
        </w:rPr>
      </w:pPr>
      <w:r w:rsidRPr="00831E1A">
        <w:rPr>
          <w:rFonts w:ascii="Arial" w:hAnsi="Arial" w:cs="Arial"/>
          <w:b/>
          <w:bCs/>
        </w:rPr>
        <w:t>Table 1.</w:t>
      </w:r>
      <w:r w:rsidRPr="00831E1A">
        <w:rPr>
          <w:rFonts w:ascii="Arial" w:hAnsi="Arial" w:cs="Arial"/>
        </w:rPr>
        <w:t xml:space="preserve"> Sensitivity of DDI prediction using network classification.</w:t>
      </w:r>
    </w:p>
    <w:p w14:paraId="5D901FDA" w14:textId="77777777" w:rsidR="00AB3327" w:rsidRDefault="00AB3327"/>
    <w:sectPr w:rsidR="00AB3327" w:rsidSect="0074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BC"/>
    <w:rsid w:val="005007BC"/>
    <w:rsid w:val="00745166"/>
    <w:rsid w:val="00AB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123D0"/>
  <w15:chartTrackingRefBased/>
  <w15:docId w15:val="{ADF9090D-E0B6-4D4E-98C1-3A404BDF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BC"/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aser">
    <w:name w:val="Teaser"/>
    <w:basedOn w:val="Normal"/>
    <w:rsid w:val="005007BC"/>
    <w:pPr>
      <w:spacing w:before="120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007BC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Lynn Wilson</dc:creator>
  <cp:keywords/>
  <dc:description/>
  <cp:lastModifiedBy>Jennifer Lynn Wilson</cp:lastModifiedBy>
  <cp:revision>1</cp:revision>
  <dcterms:created xsi:type="dcterms:W3CDTF">2022-04-01T19:07:00Z</dcterms:created>
  <dcterms:modified xsi:type="dcterms:W3CDTF">2022-04-01T19:08:00Z</dcterms:modified>
</cp:coreProperties>
</file>