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1B71C" w14:textId="77777777" w:rsidR="004A10BE" w:rsidRPr="00175CBB" w:rsidRDefault="004A10BE" w:rsidP="004A10BE"/>
    <w:p w14:paraId="3542C53B" w14:textId="36061713" w:rsidR="004A10BE" w:rsidRDefault="004A10BE" w:rsidP="00070962">
      <w:pPr>
        <w:pStyle w:val="Head"/>
        <w:jc w:val="left"/>
      </w:pPr>
      <w:r w:rsidRPr="00175CBB">
        <w:t xml:space="preserve">Title:  </w:t>
      </w:r>
      <w:r w:rsidR="00070962" w:rsidRPr="00070962">
        <w:t>A network paradigm predicts drug synergistic effects using downstream protein-protein interactions</w:t>
      </w:r>
    </w:p>
    <w:p w14:paraId="22AFF9D0" w14:textId="77777777" w:rsidR="00070962" w:rsidRPr="00175CBB" w:rsidRDefault="00070962" w:rsidP="00070962">
      <w:pPr>
        <w:pStyle w:val="Head"/>
        <w:jc w:val="left"/>
      </w:pPr>
    </w:p>
    <w:p w14:paraId="63258359" w14:textId="0A21A6C4" w:rsidR="003031A8" w:rsidRDefault="004A10BE" w:rsidP="004A10BE">
      <w:pPr>
        <w:pStyle w:val="Teaser"/>
      </w:pPr>
      <w:r w:rsidRPr="00175CBB">
        <w:rPr>
          <w:b/>
        </w:rPr>
        <w:t>Authors:</w:t>
      </w:r>
      <w:r w:rsidRPr="00175CBB">
        <w:t xml:space="preserve">  </w:t>
      </w:r>
      <w:r w:rsidR="003031A8">
        <w:t>Jennifer L. Wilson</w:t>
      </w:r>
      <w:r w:rsidR="003031A8">
        <w:rPr>
          <w:vertAlign w:val="superscript"/>
        </w:rPr>
        <w:t>1</w:t>
      </w:r>
      <w:r w:rsidR="004D58AE">
        <w:rPr>
          <w:vertAlign w:val="superscript"/>
        </w:rPr>
        <w:t>,</w:t>
      </w:r>
      <w:r w:rsidR="004D58AE">
        <w:t>*</w:t>
      </w:r>
      <w:r w:rsidR="003031A8">
        <w:t>, Ethan Steinberg</w:t>
      </w:r>
      <w:r w:rsidR="003031A8" w:rsidRPr="00596A9A">
        <w:rPr>
          <w:vertAlign w:val="superscript"/>
        </w:rPr>
        <w:t>2</w:t>
      </w:r>
      <w:r w:rsidR="003031A8">
        <w:t>, Rebecca Racz</w:t>
      </w:r>
      <w:r w:rsidR="003031A8">
        <w:rPr>
          <w:vertAlign w:val="superscript"/>
        </w:rPr>
        <w:t>3</w:t>
      </w:r>
      <w:r w:rsidR="003031A8">
        <w:t>, Russ B. Altman</w:t>
      </w:r>
      <w:r w:rsidR="000877D9">
        <w:rPr>
          <w:vertAlign w:val="superscript"/>
        </w:rPr>
        <w:t>4</w:t>
      </w:r>
      <w:r w:rsidR="003031A8">
        <w:rPr>
          <w:vertAlign w:val="superscript"/>
        </w:rPr>
        <w:t>,</w:t>
      </w:r>
      <w:r w:rsidR="000877D9">
        <w:rPr>
          <w:vertAlign w:val="superscript"/>
        </w:rPr>
        <w:t>5</w:t>
      </w:r>
      <w:r w:rsidR="003031A8">
        <w:t>, Nigam Shah</w:t>
      </w:r>
      <w:r w:rsidR="003031A8">
        <w:rPr>
          <w:vertAlign w:val="superscript"/>
        </w:rPr>
        <w:t>2</w:t>
      </w:r>
      <w:r w:rsidR="003031A8">
        <w:t>, Kevin Grimes</w:t>
      </w:r>
      <w:r w:rsidR="000877D9">
        <w:rPr>
          <w:vertAlign w:val="superscript"/>
        </w:rPr>
        <w:t>6</w:t>
      </w:r>
    </w:p>
    <w:p w14:paraId="5BF2E426" w14:textId="77777777" w:rsidR="003031A8" w:rsidRDefault="003031A8" w:rsidP="004A10BE">
      <w:pPr>
        <w:pStyle w:val="Paragraph"/>
        <w:ind w:firstLine="0"/>
        <w:rPr>
          <w:b/>
        </w:rPr>
      </w:pPr>
    </w:p>
    <w:p w14:paraId="0D8B26C9" w14:textId="17B6D415" w:rsidR="004A10BE" w:rsidRPr="00175CBB" w:rsidRDefault="004A10BE" w:rsidP="004A10BE">
      <w:pPr>
        <w:pStyle w:val="Paragraph"/>
        <w:ind w:firstLine="0"/>
        <w:rPr>
          <w:b/>
        </w:rPr>
      </w:pPr>
      <w:r w:rsidRPr="00175CBB">
        <w:rPr>
          <w:b/>
        </w:rPr>
        <w:t>Affiliations:</w:t>
      </w:r>
    </w:p>
    <w:p w14:paraId="15034A7E" w14:textId="125281BF" w:rsidR="003031A8" w:rsidRPr="00DA4632" w:rsidRDefault="003031A8" w:rsidP="003031A8">
      <w:pPr>
        <w:pStyle w:val="Authors"/>
        <w:spacing w:before="0" w:after="0"/>
        <w:jc w:val="left"/>
        <w:rPr>
          <w:b/>
        </w:rPr>
      </w:pPr>
      <w:r>
        <w:rPr>
          <w:vertAlign w:val="superscript"/>
        </w:rPr>
        <w:t xml:space="preserve">1 </w:t>
      </w:r>
      <w:r>
        <w:t>Department of Bioengineering, University of California Los Angeles</w:t>
      </w:r>
      <w:r w:rsidR="00723EDE">
        <w:t>;</w:t>
      </w:r>
      <w:r>
        <w:t xml:space="preserve"> Los Angeles, California, USA.</w:t>
      </w:r>
    </w:p>
    <w:p w14:paraId="3A4D7514" w14:textId="2597CC03" w:rsidR="003031A8" w:rsidRPr="00596A9A" w:rsidRDefault="003031A8" w:rsidP="003031A8">
      <w:pPr>
        <w:pStyle w:val="Paragraph"/>
        <w:spacing w:before="0"/>
        <w:ind w:firstLine="0"/>
      </w:pPr>
      <w:r>
        <w:rPr>
          <w:vertAlign w:val="superscript"/>
        </w:rPr>
        <w:t xml:space="preserve">2 </w:t>
      </w:r>
      <w:r w:rsidRPr="005440E6">
        <w:t xml:space="preserve">Center </w:t>
      </w:r>
      <w:r>
        <w:t>for Biomedical Informatics Research, Stanford University</w:t>
      </w:r>
      <w:r w:rsidR="00723EDE">
        <w:t>;</w:t>
      </w:r>
      <w:r>
        <w:t xml:space="preserve"> Palo Alto California, USA.</w:t>
      </w:r>
    </w:p>
    <w:p w14:paraId="489147AC" w14:textId="10BA4B34" w:rsidR="003031A8" w:rsidRDefault="003031A8" w:rsidP="003031A8">
      <w:pPr>
        <w:pStyle w:val="Paragraph"/>
        <w:spacing w:before="0"/>
        <w:ind w:firstLine="0"/>
      </w:pPr>
      <w:r>
        <w:rPr>
          <w:vertAlign w:val="superscript"/>
        </w:rPr>
        <w:t xml:space="preserve">3 </w:t>
      </w:r>
      <w:r w:rsidRPr="0019529F">
        <w:t xml:space="preserve">Division of Applied Regulatory Science, US Food and Drug </w:t>
      </w:r>
      <w:proofErr w:type="gramStart"/>
      <w:r w:rsidRPr="0019529F">
        <w:t>Administration</w:t>
      </w:r>
      <w:r w:rsidR="00723EDE">
        <w:t>;</w:t>
      </w:r>
      <w:proofErr w:type="gramEnd"/>
      <w:r w:rsidR="00723EDE">
        <w:t xml:space="preserve"> </w:t>
      </w:r>
      <w:r w:rsidRPr="0019529F">
        <w:t>Silver Spring Maryland, USA</w:t>
      </w:r>
      <w:r>
        <w:t>.</w:t>
      </w:r>
    </w:p>
    <w:p w14:paraId="68F579F8" w14:textId="2CC38C9D" w:rsidR="003031A8" w:rsidRDefault="000877D9" w:rsidP="003031A8">
      <w:pPr>
        <w:pStyle w:val="Paragraph"/>
        <w:spacing w:before="0"/>
        <w:ind w:firstLine="0"/>
      </w:pPr>
      <w:r>
        <w:rPr>
          <w:vertAlign w:val="superscript"/>
        </w:rPr>
        <w:t>4</w:t>
      </w:r>
      <w:r w:rsidR="003031A8">
        <w:rPr>
          <w:vertAlign w:val="superscript"/>
        </w:rPr>
        <w:t xml:space="preserve"> </w:t>
      </w:r>
      <w:r w:rsidR="003031A8" w:rsidRPr="0019529F">
        <w:t>Department of Bioengineering, Stanford University</w:t>
      </w:r>
      <w:r w:rsidR="00723EDE">
        <w:t>;</w:t>
      </w:r>
      <w:r w:rsidR="003031A8" w:rsidRPr="0019529F">
        <w:t xml:space="preserve"> Palo Alto California, USA</w:t>
      </w:r>
      <w:r w:rsidR="003031A8">
        <w:t>.</w:t>
      </w:r>
    </w:p>
    <w:p w14:paraId="2C550440" w14:textId="52F803AA" w:rsidR="003031A8" w:rsidRDefault="000877D9" w:rsidP="003031A8">
      <w:pPr>
        <w:pStyle w:val="Paragraph"/>
        <w:spacing w:before="0"/>
        <w:ind w:firstLine="0"/>
      </w:pPr>
      <w:r>
        <w:rPr>
          <w:vertAlign w:val="superscript"/>
        </w:rPr>
        <w:t>5</w:t>
      </w:r>
      <w:r>
        <w:t xml:space="preserve"> </w:t>
      </w:r>
      <w:r w:rsidR="003031A8" w:rsidRPr="000E006C">
        <w:t>Department</w:t>
      </w:r>
      <w:r w:rsidR="003031A8">
        <w:t xml:space="preserve"> of Genetics, </w:t>
      </w:r>
      <w:r w:rsidR="003031A8" w:rsidRPr="0019529F">
        <w:t>Stanford University</w:t>
      </w:r>
      <w:r w:rsidR="00723EDE">
        <w:t>;</w:t>
      </w:r>
      <w:r w:rsidR="003031A8" w:rsidRPr="0019529F">
        <w:t xml:space="preserve"> Palo Alto California, USA</w:t>
      </w:r>
      <w:r w:rsidR="003031A8">
        <w:t>.</w:t>
      </w:r>
    </w:p>
    <w:p w14:paraId="5490C6F8" w14:textId="2658A9FA" w:rsidR="003031A8" w:rsidRDefault="006E610F" w:rsidP="003031A8">
      <w:pPr>
        <w:pStyle w:val="Paragraph"/>
        <w:spacing w:before="0"/>
        <w:ind w:firstLine="0"/>
      </w:pPr>
      <w:r>
        <w:rPr>
          <w:vertAlign w:val="superscript"/>
        </w:rPr>
        <w:t xml:space="preserve">6 </w:t>
      </w:r>
      <w:r>
        <w:t>Department</w:t>
      </w:r>
      <w:r w:rsidR="000877D9">
        <w:t xml:space="preserve"> </w:t>
      </w:r>
      <w:r w:rsidR="003031A8">
        <w:t xml:space="preserve">of Chemical and Systems Biology, </w:t>
      </w:r>
      <w:r w:rsidR="003031A8" w:rsidRPr="0019529F">
        <w:t>Stanford University</w:t>
      </w:r>
      <w:r w:rsidR="00723EDE">
        <w:t>;</w:t>
      </w:r>
      <w:r w:rsidR="003031A8" w:rsidRPr="0019529F">
        <w:t xml:space="preserve"> Palo Alto California, USA</w:t>
      </w:r>
      <w:r w:rsidR="003031A8">
        <w:t>.</w:t>
      </w:r>
    </w:p>
    <w:p w14:paraId="512DE904" w14:textId="44AAFE1C" w:rsidR="003031A8" w:rsidRDefault="003031A8" w:rsidP="003031A8">
      <w:pPr>
        <w:pStyle w:val="Paragraph"/>
        <w:spacing w:before="0"/>
        <w:ind w:firstLine="0"/>
      </w:pPr>
      <w:r>
        <w:t xml:space="preserve">*To whom correspondence should be addressed:  </w:t>
      </w:r>
      <w:r w:rsidR="00E21159">
        <w:t>jenniferwilson@ucla.edu</w:t>
      </w:r>
    </w:p>
    <w:p w14:paraId="44661499" w14:textId="4E04E816" w:rsidR="004A10BE" w:rsidRPr="00175CBB" w:rsidRDefault="004A10BE" w:rsidP="000D3216">
      <w:pPr>
        <w:pStyle w:val="Paragraph"/>
        <w:spacing w:line="480" w:lineRule="auto"/>
        <w:ind w:firstLine="0"/>
      </w:pPr>
      <w:r w:rsidRPr="00175CBB">
        <w:rPr>
          <w:b/>
        </w:rPr>
        <w:t xml:space="preserve">One Sentence Summary: </w:t>
      </w:r>
      <w:r w:rsidR="001066E5" w:rsidRPr="00A439D5">
        <w:rPr>
          <w:bCs/>
        </w:rPr>
        <w:t xml:space="preserve">We predicted </w:t>
      </w:r>
      <w:r w:rsidR="001066E5">
        <w:rPr>
          <w:bCs/>
        </w:rPr>
        <w:t xml:space="preserve">and tested clinical effects </w:t>
      </w:r>
      <w:r w:rsidR="005D3A4A">
        <w:rPr>
          <w:bCs/>
        </w:rPr>
        <w:t>of</w:t>
      </w:r>
      <w:r w:rsidR="001066E5">
        <w:rPr>
          <w:bCs/>
        </w:rPr>
        <w:t xml:space="preserve"> drug combinations using p</w:t>
      </w:r>
      <w:r w:rsidR="001066E5" w:rsidRPr="00A439D5">
        <w:rPr>
          <w:bCs/>
        </w:rPr>
        <w:t>rotein</w:t>
      </w:r>
      <w:r w:rsidR="001066E5">
        <w:t>-protein interaction network drug classification.</w:t>
      </w:r>
    </w:p>
    <w:p w14:paraId="1B31061B" w14:textId="19AF3D17" w:rsidR="004A10BE" w:rsidRPr="00175CBB" w:rsidRDefault="004A10BE" w:rsidP="000D3216">
      <w:pPr>
        <w:pStyle w:val="AbstractSummary"/>
        <w:spacing w:line="480" w:lineRule="auto"/>
      </w:pPr>
      <w:r w:rsidRPr="00175CBB">
        <w:rPr>
          <w:b/>
        </w:rPr>
        <w:t>Abstract</w:t>
      </w:r>
      <w:r w:rsidRPr="00FA2894">
        <w:rPr>
          <w:b/>
          <w:bCs/>
        </w:rPr>
        <w:t>:</w:t>
      </w:r>
      <w:r w:rsidRPr="00175CBB">
        <w:t xml:space="preserve"> </w:t>
      </w:r>
      <w:r w:rsidR="00F06437">
        <w:t>In some cases, drug combinations affect adverse outcome phenotypes by binding the same protein</w:t>
      </w:r>
      <w:r w:rsidR="000728BE" w:rsidRPr="000728BE">
        <w:t>; however, drug-binding proteins are associated through protein-protein interaction networks within the cell, suggesting that drug phenotypes may result from long-range, network effects. We first used protein-protein interaction network analysis to classify drugs based on proteins downstream of their targets and next predicted drug combination effects where drugs shared network proteins but had distinct binding proteins (</w:t>
      </w:r>
      <w:r w:rsidR="006E610F" w:rsidRPr="000728BE">
        <w:t>e.g.,</w:t>
      </w:r>
      <w:r w:rsidR="000728BE" w:rsidRPr="000728BE">
        <w:t xml:space="preserve"> targets, enzymes, or transporters). By classifying drugs using their downstream proteins, we had an 80.7% sensitivity for predicting rare drug combination effects documented in gold-standard datasets. We further measured the effect of predicted drug combinations on adverse outcome phenotypes using novel observational studies in the electronic health record. We tested predictions for 60 network-drug classes on 7 adverse outcomes and measured changes in clinical outcomes for predicted combinations. These </w:t>
      </w:r>
      <w:r w:rsidR="000728BE" w:rsidRPr="000728BE">
        <w:lastRenderedPageBreak/>
        <w:t>results demonstrate a novel paradigm for anticipating drug synergistic effects using proteins downstream of drug targets.</w:t>
      </w:r>
    </w:p>
    <w:p w14:paraId="42C3E917" w14:textId="77777777" w:rsidR="004A10BE" w:rsidRPr="00175CBB" w:rsidRDefault="004A10BE" w:rsidP="000D3216">
      <w:pPr>
        <w:pStyle w:val="Paragraph"/>
        <w:spacing w:line="480" w:lineRule="auto"/>
        <w:ind w:firstLine="0"/>
        <w:rPr>
          <w:b/>
        </w:rPr>
      </w:pPr>
      <w:r w:rsidRPr="00175CBB">
        <w:rPr>
          <w:b/>
        </w:rPr>
        <w:t>Main Text:</w:t>
      </w:r>
    </w:p>
    <w:p w14:paraId="70D1E26E" w14:textId="77777777" w:rsidR="004A10BE" w:rsidRPr="00175CBB" w:rsidRDefault="009B1602" w:rsidP="000D3216">
      <w:pPr>
        <w:pStyle w:val="Paragraph"/>
        <w:spacing w:line="480" w:lineRule="auto"/>
        <w:ind w:firstLine="0"/>
        <w:rPr>
          <w:b/>
        </w:rPr>
      </w:pPr>
      <w:r w:rsidRPr="00175CBB">
        <w:rPr>
          <w:b/>
        </w:rPr>
        <w:t>INTRODUCTION</w:t>
      </w:r>
    </w:p>
    <w:p w14:paraId="6BF73F11" w14:textId="644A7CB7" w:rsidR="000728BE" w:rsidRPr="000728BE" w:rsidRDefault="000728BE" w:rsidP="000D3216">
      <w:pPr>
        <w:pStyle w:val="Paragraph"/>
        <w:spacing w:line="480" w:lineRule="auto"/>
        <w:ind w:firstLine="0"/>
      </w:pPr>
      <w:r w:rsidRPr="000728BE">
        <w:t>Many drug-drug interaction</w:t>
      </w:r>
      <w:r w:rsidR="001005CA">
        <w:t>s</w:t>
      </w:r>
      <w:r w:rsidRPr="000728BE">
        <w:t xml:space="preserve"> (DDIs) associated with adverse effects occur from a shared binding protein, where drugs share similar targets, enzymes, </w:t>
      </w:r>
      <w:r w:rsidR="006E610F" w:rsidRPr="000728BE">
        <w:t>carrier,</w:t>
      </w:r>
      <w:r w:rsidRPr="000728BE">
        <w:t xml:space="preserve"> or transporter proteins.  For example, one drug can inhibit an enzyme that is responsible for metabolism of another drug substrate. However, not all DDIs are explained by this mechanism. Regulatory guidances </w:t>
      </w:r>
      <w:r w:rsidR="006E610F">
        <w:t>recommend c</w:t>
      </w:r>
      <w:r w:rsidR="006E610F" w:rsidRPr="000728BE">
        <w:t xml:space="preserve">linical </w:t>
      </w:r>
      <w:r w:rsidR="006E610F" w:rsidRPr="000728BE">
        <w:fldChar w:fldCharType="begin"/>
      </w:r>
      <w:r w:rsidR="006E610F" w:rsidRPr="000728BE">
        <w:instrText xml:space="preserve"> ADDIN PAPERS2_CITATIONS &lt;citation&gt;&lt;priority&gt;0&lt;/priority&gt;&lt;uuid&gt;41053242-9E95-479D-9376-89F639491CEC&lt;/uuid&gt;&lt;publications&gt;&lt;publication&gt;&lt;subtype&gt;400&lt;/subtype&gt;&lt;publisher&gt;Nature Publishing Group&lt;/publisher&gt;&lt;title&gt;Cell-signalling dynamics in time and space&lt;/title&gt;&lt;url&gt;https://www.nature.com/articles/nrm1838&lt;/url&gt;&lt;volume&gt;7&lt;/volume&gt;&lt;publication_date&gt;99200603011200000000222000&lt;/publication_date&gt;&lt;uuid&gt;0CA6C392-F0C5-4F96-9FD8-10D69933C4EC&lt;/uuid&gt;&lt;type&gt;400&lt;/type&gt;&lt;number&gt;3&lt;/number&gt;&lt;doi&gt;10.1038/nrm1838&lt;/doi&gt;&lt;startpage&gt;165&lt;/startpage&gt;&lt;endpage&gt;176&lt;/endpage&gt;&lt;bundle&gt;&lt;publication&gt;&lt;title&gt;Nature Reviews Molecular Cell Biology&lt;/title&gt;&lt;uuid&gt;C0209F9F-9CB3-404E-980A-4CF855DCC773&lt;/uuid&gt;&lt;subtype&gt;-100&lt;/subtype&gt;&lt;publisher&gt;Nature Publishing Group&lt;/publisher&gt;&lt;type&gt;-100&lt;/type&gt;&lt;/publication&gt;&lt;/bundle&gt;&lt;authors&gt;&lt;author&gt;&lt;lastName&gt;Kholodenko&lt;/lastName&gt;&lt;firstName&gt;Boris&lt;/firstName&gt;&lt;middleNames&gt;N&lt;/middleNames&gt;&lt;/author&gt;&lt;/authors&gt;&lt;/publication&gt;&lt;/publications&gt;&lt;cites&gt;&lt;/cites&gt;&lt;/citation&gt;</w:instrText>
      </w:r>
      <w:r w:rsidR="006E610F" w:rsidRPr="000728BE">
        <w:fldChar w:fldCharType="separate"/>
      </w:r>
      <w:r w:rsidR="006E610F" w:rsidRPr="000728BE">
        <w:t>(</w:t>
      </w:r>
      <w:r w:rsidR="006E610F" w:rsidRPr="000728BE">
        <w:rPr>
          <w:i/>
          <w:iCs/>
        </w:rPr>
        <w:t>1</w:t>
      </w:r>
      <w:r w:rsidR="006E610F" w:rsidRPr="000728BE">
        <w:t>)</w:t>
      </w:r>
      <w:r w:rsidR="006E610F" w:rsidRPr="000728BE">
        <w:fldChar w:fldCharType="end"/>
      </w:r>
      <w:r w:rsidR="006E610F">
        <w:t xml:space="preserve"> </w:t>
      </w:r>
      <w:r w:rsidR="006E610F" w:rsidRPr="000728BE">
        <w:t>and in vitro experiments</w:t>
      </w:r>
      <w:r w:rsidR="006E610F" w:rsidRPr="000728BE">
        <w:fldChar w:fldCharType="begin"/>
      </w:r>
      <w:r w:rsidR="006E610F" w:rsidRPr="000728BE">
        <w:instrText xml:space="preserve"> ADDIN PAPERS2_CITATIONS &lt;citation&gt;&lt;priority&gt;1&lt;/priority&gt;&lt;uuid&gt;E344D8D6-F60D-44DD-A7B9-F3452F325BE7&lt;/uuid&gt;&lt;publications&gt;&lt;publication&gt;&lt;subtype&gt;400&lt;/subtype&gt;&lt;title&gt;Biomarker: Predictive or Prognostic?&lt;/title&gt;&lt;url&gt;http://ascopubs.org/doi/10.1200/JCO.2015.63.3651&lt;/url&gt;&lt;volume&gt;33&lt;/volume&gt;&lt;publication_date&gt;99201511201200000000222000&lt;/publication_date&gt;&lt;uuid&gt;9CD4D13A-014A-4A33-892B-A8ECDCB06D53&lt;/uuid&gt;&lt;type&gt;400&lt;/type&gt;&lt;number&gt;33&lt;/number&gt;&lt;doi&gt;10.1200/JCO.2015.63.3651&lt;/doi&gt;&lt;institution&gt;From Weill Cornell Medical College, New York, NY. kab2053@med.cornell.edu.&lt;/institution&gt;&lt;startpage&gt;3968&lt;/startpage&gt;&lt;endpage&gt;3971&lt;/endpage&gt;&lt;bundle&gt;&lt;publication&gt;&lt;title&gt;Journal of clinical oncology : official journal of the American Society of Clinical Oncology&lt;/title&gt;&lt;uuid&gt;DE054990-77B2-47D7-8DF9-E7CB6818A484&lt;/uuid&gt;&lt;subtype&gt;-100&lt;/subtype&gt;&lt;type&gt;-100&lt;/type&gt;&lt;/publication&gt;&lt;/bundle&gt;&lt;authors&gt;&lt;author&gt;&lt;lastName&gt;Ballman&lt;/lastName&gt;&lt;firstName&gt;Karla&lt;/firstName&gt;&lt;middleNames&gt;V&lt;/middleNames&gt;&lt;/author&gt;&lt;/authors&gt;&lt;/publication&gt;&lt;/publications&gt;&lt;cites&gt;&lt;/cites&gt;&lt;/citation&gt;</w:instrText>
      </w:r>
      <w:r w:rsidR="006E610F" w:rsidRPr="000728BE">
        <w:fldChar w:fldCharType="separate"/>
      </w:r>
      <w:r w:rsidR="006E610F" w:rsidRPr="000728BE">
        <w:t>(</w:t>
      </w:r>
      <w:r w:rsidR="006E610F" w:rsidRPr="000728BE">
        <w:rPr>
          <w:i/>
          <w:iCs/>
        </w:rPr>
        <w:t>2</w:t>
      </w:r>
      <w:r w:rsidR="006E610F" w:rsidRPr="000728BE">
        <w:t>)</w:t>
      </w:r>
      <w:r w:rsidR="006E610F" w:rsidRPr="000728BE">
        <w:fldChar w:fldCharType="end"/>
      </w:r>
      <w:r w:rsidR="006E610F" w:rsidRPr="000728BE">
        <w:t xml:space="preserve"> </w:t>
      </w:r>
      <w:r w:rsidR="006E610F">
        <w:t>to</w:t>
      </w:r>
      <w:r w:rsidRPr="000728BE">
        <w:t xml:space="preserve"> evaluat</w:t>
      </w:r>
      <w:r w:rsidR="006E610F">
        <w:t>e</w:t>
      </w:r>
      <w:r w:rsidRPr="000728BE">
        <w:t xml:space="preserve"> a drug’s potential</w:t>
      </w:r>
      <w:r w:rsidR="006E610F">
        <w:t xml:space="preserve"> for drug interactions; these recommendations emphasize the study of</w:t>
      </w:r>
      <w:r w:rsidRPr="000728BE">
        <w:t xml:space="preserve"> drug </w:t>
      </w:r>
      <w:r w:rsidR="00AB75B7" w:rsidRPr="000728BE">
        <w:t>metabolizing</w:t>
      </w:r>
      <w:r w:rsidRPr="000728BE">
        <w:t xml:space="preserve"> enzymes and transporters </w:t>
      </w:r>
      <w:r w:rsidR="006E610F">
        <w:t>that are relevant to other marketed therapies</w:t>
      </w:r>
      <w:r w:rsidRPr="000728BE">
        <w:t xml:space="preserve">. </w:t>
      </w:r>
      <w:proofErr w:type="spellStart"/>
      <w:r w:rsidRPr="000728BE">
        <w:t>Drug</w:t>
      </w:r>
      <w:r w:rsidR="00E04E5F">
        <w:t>B</w:t>
      </w:r>
      <w:r w:rsidRPr="000728BE">
        <w:t>ank’s</w:t>
      </w:r>
      <w:proofErr w:type="spellEnd"/>
      <w:r w:rsidRPr="000728BE">
        <w:t xml:space="preserve"> drug-drug interaction database </w:t>
      </w:r>
      <w:r w:rsidRPr="000728BE">
        <w:fldChar w:fldCharType="begin"/>
      </w:r>
      <w:r w:rsidRPr="000728BE">
        <w:instrText xml:space="preserve"> ADDIN PAPERS2_CITATIONS &lt;citation&gt;&lt;priority&gt;4&lt;/priority&gt;&lt;uuid&gt;9AAB53F7-1A9B-4148-96DC-B54BE4544DD0&lt;/uuid&gt;&lt;publications&gt;&lt;publication&gt;&lt;subtype&gt;400&lt;/subtype&gt;&lt;title&gt;DrugBank: a comprehensive resource for in silico drug discovery and exploration.&lt;/title&gt;&lt;url&gt;https://academic.oup.com/nar/article-lookup/doi/10.1093/nar/gkj067&lt;/url&gt;&lt;volume&gt;34&lt;/volume&gt;&lt;publication_date&gt;99200601011200000000222000&lt;/publication_date&gt;&lt;uuid&gt;780804CB-0E39-4512-B910-F594F7FF587F&lt;/uuid&gt;&lt;type&gt;400&lt;/type&gt;&lt;number&gt;Database issue&lt;/number&gt;&lt;doi&gt;10.1093/nar/gkj067&lt;/doi&gt;&lt;institution&gt;Department of Computing Science, University of Alberta, Edmonton, AB, Canada T6G 2E8. david.wishart@ualberta.ca&lt;/institution&gt;&lt;startpage&gt;D668&lt;/startpage&gt;&lt;endpage&gt;72&lt;/endpage&gt;&lt;bundle&gt;&lt;publication&gt;&lt;title&gt;Nucleic Acids Research&lt;/title&gt;&lt;uuid&gt;77B9E7DD-0BF1-416E-99FA-12526CA70A29&lt;/uuid&gt;&lt;subtype&gt;-100&lt;/subtype&gt;&lt;publisher&gt;Oxford University Press&lt;/publisher&gt;&lt;type&gt;-100&lt;/type&gt;&lt;/publication&gt;&lt;/bundle&gt;&lt;authors&gt;&lt;author&gt;&lt;lastName&gt;Wishart&lt;/lastName&gt;&lt;firstName&gt;David&lt;/firstName&gt;&lt;middleNames&gt;S&lt;/middleNames&gt;&lt;/author&gt;&lt;author&gt;&lt;lastName&gt;Knox&lt;/lastName&gt;&lt;firstName&gt;Craig&lt;/firstName&gt;&lt;/author&gt;&lt;author&gt;&lt;lastName&gt;Guo&lt;/lastName&gt;&lt;firstName&gt;An&lt;/firstName&gt;&lt;middleNames&gt;Chi&lt;/middleNames&gt;&lt;/author&gt;&lt;author&gt;&lt;lastName&gt;Shrivastava&lt;/lastName&gt;&lt;firstName&gt;Savita&lt;/firstName&gt;&lt;/author&gt;&lt;author&gt;&lt;lastName&gt;Hassanali&lt;/lastName&gt;&lt;firstName&gt;Murtaza&lt;/firstName&gt;&lt;/author&gt;&lt;author&gt;&lt;lastName&gt;Stothard&lt;/lastName&gt;&lt;firstName&gt;Paul&lt;/firstName&gt;&lt;/author&gt;&lt;author&gt;&lt;lastName&gt;Chang&lt;/lastName&gt;&lt;firstName&gt;Zhan&lt;/firstName&gt;&lt;/author&gt;&lt;author&gt;&lt;lastName&gt;Woolsey&lt;/lastName&gt;&lt;firstName&gt;Jennifer&lt;/firstName&gt;&lt;/author&gt;&lt;/authors&gt;&lt;/publication&gt;&lt;publication&gt;&lt;subtype&gt;400&lt;/subtype&gt;&lt;title&gt;DrugBank 4.0: shedding new light on drug metabolism.&lt;/title&gt;&lt;url&gt;http://eutils.ncbi.nlm.nih.gov/entrez/eutils/elink.fcgi?dbfrom=pubmed&amp;amp;id=24203711&amp;amp;retmode=ref&amp;amp;cmd=prlinks&lt;/url&gt;&lt;volume&gt;42&lt;/volume&gt;&lt;publication_date&gt;99201401001200000000220000&lt;/publication_date&gt;&lt;uuid&gt;2D78DB73-F18F-4F6E-94FC-F6DF41388DA4&lt;/uuid&gt;&lt;type&gt;400&lt;/type&gt;&lt;number&gt;Database issue&lt;/number&gt;&lt;doi&gt;10.1093/nar/gkt1068&lt;/doi&gt;&lt;institution&gt;Department of Computing Science, University of Alberta, Edmonton, AB, Canada T6G 2E8, Department Biological Sciences, University of Alberta, Edmonton, AB, Canada T6G 2E8, Faculty of Pharmacy and Pharmaceutical Sciences, University of Alberta, Edmonton, AB, Canada T6G 2N8 and National Institute for Nanotechnology, 11421 Saskatchewan Drive, Edmonton, AB, Canada T6G 2M9.&lt;/institution&gt;&lt;startpage&gt;D1091&lt;/startpage&gt;&lt;endpage&gt;7&lt;/endpage&gt;&lt;bundle&gt;&lt;publication&gt;&lt;title&gt;Nucleic Acids Research&lt;/title&gt;&lt;uuid&gt;77B9E7DD-0BF1-416E-99FA-12526CA70A29&lt;/uuid&gt;&lt;subtype&gt;-100&lt;/subtype&gt;&lt;publisher&gt;Oxford University Press&lt;/publisher&gt;&lt;type&gt;-100&lt;/type&gt;&lt;/publication&gt;&lt;/bundle&gt;&lt;authors&gt;&lt;author&gt;&lt;lastName&gt;Law&lt;/lastName&gt;&lt;firstName&gt;Vivian&lt;/firstName&gt;&lt;/author&gt;&lt;author&gt;&lt;lastName&gt;Knox&lt;/lastName&gt;&lt;firstName&gt;Craig&lt;/firstName&gt;&lt;/author&gt;&lt;author&gt;&lt;lastName&gt;Djoumbou&lt;/lastName&gt;&lt;firstName&gt;Yannick&lt;/firstName&gt;&lt;/author&gt;&lt;author&gt;&lt;lastName&gt;Jewison&lt;/lastName&gt;&lt;firstName&gt;Tim&lt;/firstName&gt;&lt;/author&gt;&lt;author&gt;&lt;lastName&gt;Guo&lt;/lastName&gt;&lt;firstName&gt;An&lt;/firstName&gt;&lt;middleNames&gt;Chi&lt;/middleNames&gt;&lt;/author&gt;&lt;author&gt;&lt;lastName&gt;Liu&lt;/lastName&gt;&lt;firstName&gt;Yifeng&lt;/firstName&gt;&lt;/author&gt;&lt;author&gt;&lt;lastName&gt;Maciejewski&lt;/lastName&gt;&lt;firstName&gt;Adam&lt;/firstName&gt;&lt;/author&gt;&lt;author&gt;&lt;lastName&gt;Arndt&lt;/lastName&gt;&lt;firstName&gt;David&lt;/firstName&gt;&lt;/author&gt;&lt;author&gt;&lt;lastName&gt;Wilson&lt;/lastName&gt;&lt;firstName&gt;Michael&lt;/firstName&gt;&lt;/author&gt;&lt;author&gt;&lt;lastName&gt;Neveu&lt;/lastName&gt;&lt;firstName&gt;Vanessa&lt;/firstName&gt;&lt;/author&gt;&lt;author&gt;&lt;lastName&gt;Tang&lt;/lastName&gt;&lt;firstName&gt;Alexandra&lt;/firstName&gt;&lt;/author&gt;&lt;author&gt;&lt;lastName&gt;Gabriel&lt;/lastName&gt;&lt;firstName&gt;Geraldine&lt;/firstName&gt;&lt;/author&gt;&lt;author&gt;&lt;lastName&gt;Ly&lt;/lastName&gt;&lt;firstName&gt;Carol&lt;/firstName&gt;&lt;/author&gt;&lt;author&gt;&lt;lastName&gt;Adamjee&lt;/lastName&gt;&lt;firstName&gt;Sakina&lt;/firstName&gt;&lt;/author&gt;&lt;author&gt;&lt;lastName&gt;Dame&lt;/lastName&gt;&lt;firstName&gt;Zerihun&lt;/firstName&gt;&lt;middleNames&gt;T&lt;/middleNames&gt;&lt;/author&gt;&lt;author&gt;&lt;lastName&gt;Han&lt;/lastName&gt;&lt;firstName&gt;Beomsoo&lt;/firstName&gt;&lt;/author&gt;&lt;author&gt;&lt;lastName&gt;Zhou&lt;/lastName&gt;&lt;firstName&gt;You&lt;/firstName&gt;&lt;/author&gt;&lt;author&gt;&lt;lastName&gt;Wishart&lt;/lastName&gt;&lt;firstName&gt;David&lt;/firstName&gt;&lt;middleNames&gt;S&lt;/middleNames&gt;&lt;/author&gt;&lt;/authors&gt;&lt;/publication&gt;&lt;/publications&gt;&lt;cites&gt;&lt;/cites&gt;&lt;/citation&gt;</w:instrText>
      </w:r>
      <w:r w:rsidRPr="000728BE">
        <w:fldChar w:fldCharType="separate"/>
      </w:r>
      <w:r w:rsidRPr="000728BE">
        <w:t>(</w:t>
      </w:r>
      <w:r w:rsidRPr="000728BE">
        <w:rPr>
          <w:i/>
          <w:iCs/>
        </w:rPr>
        <w:t>3</w:t>
      </w:r>
      <w:r w:rsidRPr="000728BE">
        <w:t xml:space="preserve">, </w:t>
      </w:r>
      <w:r w:rsidRPr="000728BE">
        <w:rPr>
          <w:i/>
          <w:iCs/>
        </w:rPr>
        <w:t>4</w:t>
      </w:r>
      <w:r w:rsidRPr="000728BE">
        <w:t>)</w:t>
      </w:r>
      <w:r w:rsidRPr="000728BE">
        <w:fldChar w:fldCharType="end"/>
      </w:r>
      <w:r w:rsidRPr="000728BE">
        <w:t xml:space="preserve"> curates DDIs based on shared protein mechanisms and </w:t>
      </w:r>
      <w:proofErr w:type="spellStart"/>
      <w:r w:rsidRPr="000728BE">
        <w:t>PharmGKB</w:t>
      </w:r>
      <w:proofErr w:type="spellEnd"/>
      <w:r w:rsidRPr="000728BE">
        <w:t xml:space="preserve"> </w:t>
      </w:r>
      <w:r w:rsidRPr="000728BE">
        <w:fldChar w:fldCharType="begin"/>
      </w:r>
      <w:r w:rsidRPr="000728BE">
        <w:instrText xml:space="preserve"> ADDIN PAPERS2_CITATIONS &lt;citation&gt;&lt;priority&gt;5&lt;/priority&gt;&lt;uuid&gt;1DD9F499-55D8-46DF-ABA7-29ABDC3EF275&lt;/uuid&gt;&lt;publications&gt;&lt;publication&gt;&lt;subtype&gt;400&lt;/subtype&gt;&lt;publisher&gt;NIH Public Access&lt;/publisher&gt;&lt;title&gt;Pharmacogenomics Knowledge for Personalized Medicine&lt;/title&gt;&lt;url&gt;http://doi.wiley.com/10.1038/clpt.2012.96&lt;/url&gt;&lt;volume&gt;92&lt;/volume&gt;&lt;publication_date&gt;99201210011200000000222000&lt;/publication_date&gt;&lt;uuid&gt;E1270CA3-A730-49C4-A2C7-252EE1BC322D&lt;/uuid&gt;&lt;type&gt;400&lt;/type&gt;&lt;number&gt;4&lt;/number&gt;&lt;doi&gt;10.1038/clpt.2012.96&lt;/doi&gt;&lt;institution&gt;Department of Genetics, Stanford University, Palo Alto, California, USA.&lt;/institution&gt;&lt;startpage&gt;414&lt;/startpage&gt;&lt;endpage&gt;417&lt;/endpage&gt;&lt;bundle&gt;&lt;publication&gt;&lt;title&gt;Clinical pharmacology and therapeutics&lt;/title&gt;&lt;uuid&gt;A62F58F5-61C1-4A94-84F5-89B80F269501&lt;/uuid&gt;&lt;subtype&gt;-100&lt;/subtype&gt;&lt;publisher&gt;NIH Public Access&lt;/publisher&gt;&lt;type&gt;-100&lt;/type&gt;&lt;/publication&gt;&lt;/bundle&gt;&lt;authors&gt;&lt;author&gt;&lt;lastName&gt;Whirl-Carrillo&lt;/lastName&gt;&lt;firstName&gt;M&lt;/firstName&gt;&lt;/author&gt;&lt;author&gt;&lt;lastName&gt;McDonagh&lt;/lastName&gt;&lt;firstName&gt;E&lt;/firstName&gt;&lt;middleNames&gt;M&lt;/middleNames&gt;&lt;/author&gt;&lt;author&gt;&lt;lastName&gt;Hebert&lt;/lastName&gt;&lt;firstName&gt;J&lt;/firstName&gt;&lt;middleNames&gt;M&lt;/middleNames&gt;&lt;/author&gt;&lt;author&gt;&lt;lastName&gt;Gong&lt;/lastName&gt;&lt;firstName&gt;L&lt;/firstName&gt;&lt;/author&gt;&lt;author&gt;&lt;lastName&gt;Sangkuhl&lt;/lastName&gt;&lt;firstName&gt;K&lt;/firstName&gt;&lt;/author&gt;&lt;author&gt;&lt;lastName&gt;Thorn&lt;/lastName&gt;&lt;firstName&gt;C&lt;/firstName&gt;&lt;middleNames&gt;F&lt;/middleNames&gt;&lt;/author&gt;&lt;author&gt;&lt;lastName&gt;Altman&lt;/lastName&gt;&lt;firstName&gt;R&lt;/firstName&gt;&lt;middleNames&gt;B&lt;/middleNames&gt;&lt;/author&gt;&lt;author&gt;&lt;lastName&gt;Klein&lt;/lastName&gt;&lt;firstName&gt;T&lt;/firstName&gt;&lt;middleNames&gt;E&lt;/middleNames&gt;&lt;/author&gt;&lt;/authors&gt;&lt;/publication&gt;&lt;/publications&gt;&lt;cites&gt;&lt;/cites&gt;&lt;/citation&gt;</w:instrText>
      </w:r>
      <w:r w:rsidRPr="000728BE">
        <w:fldChar w:fldCharType="separate"/>
      </w:r>
      <w:r w:rsidRPr="000728BE">
        <w:t>(</w:t>
      </w:r>
      <w:r w:rsidRPr="000728BE">
        <w:rPr>
          <w:i/>
          <w:iCs/>
        </w:rPr>
        <w:t>5</w:t>
      </w:r>
      <w:r w:rsidRPr="000728BE">
        <w:t>)</w:t>
      </w:r>
      <w:r w:rsidRPr="000728BE">
        <w:fldChar w:fldCharType="end"/>
      </w:r>
      <w:r w:rsidRPr="000728BE">
        <w:t xml:space="preserve"> curates drug-gene interactions, but neither consider the effects of proteins downstream of drug targets. In contrast, evidence suggests that drugs synergize through pathway effects without shared binding proteins. </w:t>
      </w:r>
      <w:r w:rsidR="00C90F6C">
        <w:t>For example, t</w:t>
      </w:r>
      <w:r w:rsidRPr="000728BE">
        <w:t xml:space="preserve">he combined use of the chemotherapeutic drugs paclitaxel and carboplatin reduced hematopoietic toxicity experienced with carboplatin alone yet the combination did not affect the pharmacokinetics of either single drug </w:t>
      </w:r>
      <w:r w:rsidRPr="000728BE">
        <w:fldChar w:fldCharType="begin"/>
      </w:r>
      <w:r w:rsidRPr="000728BE">
        <w:instrText xml:space="preserve"> ADDIN PAPERS2_CITATIONS &lt;citation&gt;&lt;priority&gt;5&lt;/priority&gt;&lt;uuid&gt;2FF8A7B4-0534-4494-97FF-B1CAD21C3C56&lt;/uuid&gt;&lt;publications&gt;&lt;publication&gt;&lt;subtype&gt;400&lt;/subtype&gt;&lt;title&gt;Clinically relevant drug-drug interactions in oncology.&lt;/title&gt;&lt;url&gt;https://onlinelibrary.wiley.com/doi/abs/10.1046/j.1365-2125.1998.00719.x&lt;/url&gt;&lt;volume&gt;45&lt;/volume&gt;&lt;publication_date&gt;99199806001200000000220000&lt;/publication_date&gt;&lt;uuid&gt;356DA5FD-0CAC-4EFA-8738-06D19E0EE610&lt;/uuid&gt;&lt;type&gt;400&lt;/type&gt;&lt;number&gt;6&lt;/number&gt;&lt;doi&gt;10.1046/j.1365-2125.1998.00719.x&lt;/doi&gt;&lt;institution&gt;Department of Medicine and Therapeutics, Institute of Medical Sciences, University of Aberdeen.&lt;/institution&gt;&lt;startpage&gt;539&lt;/startpage&gt;&lt;endpage&gt;544&lt;/endpage&gt;&lt;bundle&gt;&lt;publication&gt;&lt;title&gt;British journal of clinical pharmacology&lt;/title&gt;&lt;uuid&gt;D5745503-2591-4B77-B461-8256DC17062B&lt;/uuid&gt;&lt;subtype&gt;-100&lt;/subtype&gt;&lt;type&gt;-100&lt;/type&gt;&lt;/publication&gt;&lt;/bundle&gt;&lt;authors&gt;&lt;author&gt;&lt;lastName&gt;McLeod&lt;/lastName&gt;&lt;firstName&gt;H&lt;/firstName&gt;&lt;middleNames&gt;L&lt;/middleNames&gt;&lt;/author&gt;&lt;/authors&gt;&lt;/publication&gt;&lt;/publications&gt;&lt;cites&gt;&lt;/cites&gt;&lt;/citation&gt;</w:instrText>
      </w:r>
      <w:r w:rsidRPr="000728BE">
        <w:fldChar w:fldCharType="separate"/>
      </w:r>
      <w:r w:rsidRPr="000728BE">
        <w:t>(</w:t>
      </w:r>
      <w:r w:rsidRPr="000728BE">
        <w:rPr>
          <w:i/>
          <w:iCs/>
        </w:rPr>
        <w:t>6</w:t>
      </w:r>
      <w:r w:rsidRPr="000728BE">
        <w:t>)</w:t>
      </w:r>
      <w:r w:rsidRPr="000728BE">
        <w:fldChar w:fldCharType="end"/>
      </w:r>
      <w:r w:rsidRPr="000728BE">
        <w:t xml:space="preserve">, suggesting a non-shared-protein mechanism. </w:t>
      </w:r>
    </w:p>
    <w:p w14:paraId="073B5622" w14:textId="63C90BCF" w:rsidR="000728BE" w:rsidRPr="000728BE" w:rsidRDefault="000728BE" w:rsidP="000D3216">
      <w:pPr>
        <w:pStyle w:val="Paragraph"/>
        <w:spacing w:line="480" w:lineRule="auto"/>
        <w:ind w:firstLine="0"/>
      </w:pPr>
      <w:r w:rsidRPr="000728BE">
        <w:t xml:space="preserve">Using </w:t>
      </w:r>
      <w:r w:rsidRPr="000728BE">
        <w:rPr>
          <w:i/>
          <w:iCs/>
        </w:rPr>
        <w:t xml:space="preserve">in silico </w:t>
      </w:r>
      <w:r w:rsidRPr="000728BE">
        <w:t xml:space="preserve">methods, such as protein-protein interaction (PPI) network models, to anticipate drug effects is attractive because of the relative ease and scale of these methods for making predictions. These approaches have successfully predicted opportunities for drug repurposing </w:t>
      </w:r>
      <w:r w:rsidRPr="000728BE">
        <w:fldChar w:fldCharType="begin"/>
      </w:r>
      <w:r w:rsidRPr="000728BE">
        <w:instrText xml:space="preserve"> ADDIN PAPERS2_CITATIONS &lt;citation&gt;&lt;priority&gt;0&lt;/priority&gt;&lt;uuid&gt;05AE7DF4-6D3A-4885-93FD-C359EF4EB6DB&lt;/uuid&gt;&lt;publications&gt;&lt;publication&gt;&lt;subtype&gt;400&lt;/subtype&gt;&lt;title&gt;Network-based in silico drug efficacy screening.&lt;/title&gt;&lt;url&gt;http://www.nature.com/doifinder/10.1038/ncomms10331&lt;/url&gt;&lt;volume&gt;7&lt;/volume&gt;&lt;publication_date&gt;99201602011200000000222000&lt;/publication_date&gt;&lt;uuid&gt;ECAB8555-B4A9-4469-880D-57D1A1F61107&lt;/uuid&gt;&lt;type&gt;400&lt;/type&gt;&lt;accepted_date&gt;99201511291200000000222000&lt;/accepted_date&gt;&lt;number&gt;1&lt;/number&gt;&lt;citekey&gt;Guney:2016ii&lt;/citekey&gt;&lt;submission_date&gt;99201505071200000000222000&lt;/submission_date&gt;&lt;doi&gt;10.1038/ncomms10331&lt;/doi&gt;&lt;institution&gt;Center for Complex Networks Research (CCNR) and Department of Physics, Northeastern University, 177 Huntington Avenue, 11th floor, Boston, Massachusetts 02115, USA.&lt;/institution&gt;&lt;startpage&gt;10331&lt;/startpage&gt;&lt;bundle&gt;&lt;publication&gt;&lt;title&gt;Nature communications&lt;/title&gt;&lt;uuid&gt;4C0A7D90-D869-4B09-BC94-545C7A809D03&lt;/uuid&gt;&lt;subtype&gt;-100&lt;/subtype&gt;&lt;publisher&gt;Nature Publishing Group&lt;/publisher&gt;&lt;type&gt;-100&lt;/type&gt;&lt;/publication&gt;&lt;/bundle&gt;&lt;authors&gt;&lt;author&gt;&lt;lastName&gt;Guney&lt;/lastName&gt;&lt;firstName&gt;Emre&lt;/firstName&gt;&lt;/author&gt;&lt;author&gt;&lt;lastName&gt;Menche&lt;/lastName&gt;&lt;firstName&gt;Jörg&lt;/firstName&gt;&lt;/author&gt;&lt;author&gt;&lt;lastName&gt;Vidal&lt;/lastName&gt;&lt;firstName&gt;Marc&lt;/firstName&gt;&lt;/author&gt;&lt;author&gt;&lt;lastName&gt;Barabási&lt;/lastName&gt;&lt;firstName&gt;Albert-László&lt;/firstName&gt;&lt;/author&gt;&lt;/authors&gt;&lt;/publication&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gt;&lt;subtype&gt;400&lt;/subtype&gt;&lt;publisher&gt;Nature Publishing Group&lt;/publisher&gt;&lt;title&gt;Network-based approach to prediction and population-based validation of in silico drug repurposing&lt;/title&gt;&lt;url&gt;https://www.nature.com/articles/s41467-018-05116-5&lt;/url&gt;&lt;volume&gt;9&lt;/volume&gt;&lt;publication_date&gt;99201807121200000000222000&lt;/publication_date&gt;&lt;uuid&gt;99927F7E-CABC-4C8C-A38B-3BB0AD94068B&lt;/uuid&gt;&lt;type&gt;400&lt;/type&gt;&lt;number&gt;1&lt;/number&gt;&lt;doi&gt;10.1038/s41467-018-05116-5&lt;/doi&gt;&lt;startpage&gt;1&lt;/startpage&gt;&lt;endpage&gt;12&lt;/endpage&gt;&lt;bundle&gt;&lt;publication&gt;&lt;title&gt;Nature communications&lt;/title&gt;&lt;uuid&gt;4C0A7D90-D869-4B09-BC94-545C7A809D03&lt;/uuid&gt;&lt;subtype&gt;-100&lt;/subtype&gt;&lt;publisher&gt;Nature Publishing Group&lt;/publisher&gt;&lt;type&gt;-100&lt;/type&gt;&lt;/publication&gt;&lt;/bundle&gt;&lt;authors&gt;&lt;author&gt;&lt;lastName&gt;Cheng&lt;/lastName&gt;&lt;firstName&gt;Feixiong&lt;/firstName&gt;&lt;/author&gt;&lt;author&gt;&lt;lastName&gt;Desai&lt;/lastName&gt;&lt;firstName&gt;Rishi&lt;/firstName&gt;&lt;middleNames&gt;J&lt;/middleNames&gt;&lt;/author&gt;&lt;author&gt;&lt;lastName&gt;Handy&lt;/lastName&gt;&lt;firstName&gt;Diane&lt;/firstName&gt;&lt;middleNames&gt;E&lt;/middleNames&gt;&lt;/author&gt;&lt;author&gt;&lt;lastName&gt;Wang&lt;/lastName&gt;&lt;firstName&gt;Ruisheng&lt;/firstName&gt;&lt;/author&gt;&lt;author&gt;&lt;lastName&gt;Schneeweiss&lt;/lastName&gt;&lt;firstName&gt;Sebastian&lt;/firstName&gt;&lt;/author&gt;&lt;author&gt;&lt;lastName&gt;Barabási&lt;/lastName&gt;&lt;firstName&gt;Albert-László&lt;/firstName&gt;&lt;/author&gt;&lt;author&gt;&lt;lastName&gt;Loscalzo&lt;/lastName&gt;&lt;firstName&gt;Joseph&lt;/firstName&gt;&lt;/author&gt;&lt;/authors&gt;&lt;/publication&gt;&lt;publication&gt;&lt;subtype&gt;400&lt;/subtype&gt;&lt;publisher&gt;National Academy of Sciences&lt;/publisher&gt;&lt;title&gt;Network medicine framework for identifying drug-repurposing opportunities for COVID-19.&lt;/title&gt;&lt;url&gt;https://www.pnas.org/content/118/19/e2025581118.abstract&lt;/url&gt;&lt;volume&gt;118&lt;/volume&gt;&lt;publication_date&gt;99202105111200000000222000&lt;/publication_date&gt;&lt;uuid&gt;E87E196E-7E9D-4C8D-AEDC-BDCDD5535DE4&lt;/uuid&gt;&lt;type&gt;400&lt;/type&gt;&lt;number&gt;19&lt;/number&gt;&lt;doi&gt;10.1073/pnas.2025581118&lt;/doi&gt;&lt;institution&gt;Network Science Institute, Northeastern University, Boston, MA 02115.&lt;/institution&gt;&lt;bundle&gt;&lt;publication&gt;&lt;title&gt;Proceedings of the National Academy of Sciences of the United States of America&lt;/title&gt;&lt;uuid&gt;064F722D-D4BD-4E43-B4B4-786773218B91&lt;/uuid&gt;&lt;subtype&gt;-100&lt;/subtype&gt;&lt;type&gt;-100&lt;/type&gt;&lt;/publication&gt;&lt;/bundle&gt;&lt;authors&gt;&lt;author&gt;&lt;lastName&gt;Morselli Gysi&lt;/lastName&gt;&lt;firstName&gt;Deisy&lt;/firstName&gt;&lt;/author&gt;&lt;author&gt;&lt;lastName&gt;Valle&lt;/lastName&gt;&lt;nonDroppingParticle&gt;do&lt;/nonDroppingParticle&gt;&lt;firstName&gt;Ítalo&lt;/firstName&gt;&lt;/author&gt;&lt;author&gt;&lt;lastName&gt;Zitnik&lt;/lastName&gt;&lt;firstName&gt;Marinka&lt;/firstName&gt;&lt;/author&gt;&lt;author&gt;&lt;lastName&gt;Ameli&lt;/lastName&gt;&lt;firstName&gt;Asher&lt;/firstName&gt;&lt;/author&gt;&lt;author&gt;&lt;lastName&gt;Gan&lt;/lastName&gt;&lt;firstName&gt;Xiao&lt;/firstName&gt;&lt;/author&gt;&lt;author&gt;&lt;lastName&gt;Varol&lt;/lastName&gt;&lt;firstName&gt;Onur&lt;/firstName&gt;&lt;/author&gt;&lt;author&gt;&lt;lastName&gt;Ghiassian&lt;/lastName&gt;&lt;firstName&gt;Susan&lt;/firstName&gt;&lt;middleNames&gt;Dina&lt;/middleNames&gt;&lt;/author&gt;&lt;author&gt;&lt;lastName&gt;Patten&lt;/lastName&gt;&lt;firstName&gt;J&lt;/firstName&gt;&lt;middleNames&gt;J&lt;/middleNames&gt;&lt;/author&gt;&lt;author&gt;&lt;lastName&gt;Davey&lt;/lastName&gt;&lt;firstName&gt;Robert&lt;/firstName&gt;&lt;middleNames&gt;A&lt;/middleNames&gt;&lt;/author&gt;&lt;author&gt;&lt;lastName&gt;Loscalzo&lt;/lastName&gt;&lt;firstName&gt;Joseph&lt;/firstName&gt;&lt;/author&gt;&lt;author&gt;&lt;lastName&gt;Barabási&lt;/lastName&gt;&lt;firstName&gt;Albert-László&lt;/firstName&gt;&lt;/author&gt;&lt;/authors&gt;&lt;/publication&gt;&lt;/publications&gt;&lt;cites&gt;&lt;/cites&gt;&lt;/citation&gt;</w:instrText>
      </w:r>
      <w:r w:rsidRPr="000728BE">
        <w:fldChar w:fldCharType="separate"/>
      </w:r>
      <w:r w:rsidRPr="000728BE">
        <w:t>(</w:t>
      </w:r>
      <w:r w:rsidRPr="000728BE">
        <w:rPr>
          <w:i/>
          <w:iCs/>
        </w:rPr>
        <w:t>7</w:t>
      </w:r>
      <w:r w:rsidRPr="000728BE">
        <w:t>-</w:t>
      </w:r>
      <w:r w:rsidRPr="000728BE">
        <w:rPr>
          <w:i/>
          <w:iCs/>
        </w:rPr>
        <w:t>10</w:t>
      </w:r>
      <w:r w:rsidRPr="000728BE">
        <w:t>)</w:t>
      </w:r>
      <w:r w:rsidRPr="000728BE">
        <w:fldChar w:fldCharType="end"/>
      </w:r>
      <w:r w:rsidRPr="000728BE">
        <w:t xml:space="preserve">, for treating co-morbid conditions </w:t>
      </w:r>
      <w:r w:rsidRPr="000728BE">
        <w:fldChar w:fldCharType="begin"/>
      </w:r>
      <w:r w:rsidRPr="000728BE">
        <w:instrText xml:space="preserve"> ADDIN PAPERS2_CITATIONS &lt;citation&gt;&lt;priority&gt;1&lt;/priority&gt;&lt;uuid&gt;DC42E16B-5BAE-4275-904B-D9411BAB38FF&lt;/uuid&gt;&lt;publications&gt;&lt;publication&gt;&lt;subtype&gt;400&lt;/subtype&gt;&lt;publisher&gt;Multidisciplinary Digital Publishing Institute&lt;/publisher&gt;&lt;title&gt;Proximal Pathway Enrichment Analysis for Targeting Comorbid Diseases via Network Endopharmacology&lt;/title&gt;&lt;url&gt;http://www.mdpi.com/1424-8247/11/3/61&lt;/url&gt;&lt;volume&gt;11&lt;/volume&gt;&lt;publication_date&gt;99201809001200000000220000&lt;/publication_date&gt;&lt;uuid&gt;F958ADF4-F108-4EB4-85E0-C7262D0C609E&lt;/uuid&gt;&lt;type&gt;400&lt;/type&gt;&lt;number&gt;3&lt;/number&gt;&lt;doi&gt;10.3390/ph11030061&lt;/doi&gt;&lt;startpage&gt;61&lt;/startpage&gt;&lt;endpage&gt;18&lt;/endpage&gt;&lt;bundle&gt;&lt;publication&gt;&lt;title&gt;Pharmaceuticals&lt;/title&gt;&lt;uuid&gt;B0093E82-45D3-46C9-9C68-E0D5F7CE7C04&lt;/uuid&gt;&lt;subtype&gt;-100&lt;/subtype&gt;&lt;type&gt;-100&lt;/type&gt;&lt;/publication&gt;&lt;/bundle&gt;&lt;authors&gt;&lt;author&gt;&lt;lastName&gt;Aguirre-Plans&lt;/lastName&gt;&lt;firstName&gt;Joaquim&lt;/firstName&gt;&lt;/author&gt;&lt;author&gt;&lt;lastName&gt;Piñero&lt;/lastName&gt;&lt;firstName&gt;Janet&lt;/firstName&gt;&lt;/author&gt;&lt;author&gt;&lt;lastName&gt;Menche&lt;/lastName&gt;&lt;firstName&gt;Jörg&lt;/firstName&gt;&lt;/author&gt;&lt;author&gt;&lt;lastName&gt;Sanz&lt;/lastName&gt;&lt;firstName&gt;Ferran&lt;/firstName&gt;&lt;/author&gt;&lt;author&gt;&lt;lastName&gt;Furlong&lt;/lastName&gt;&lt;firstName&gt;Laura&lt;/firstName&gt;&lt;/author&gt;&lt;author&gt;&lt;lastName&gt;Schmidt&lt;/lastName&gt;&lt;firstName&gt;Harald&lt;/firstName&gt;&lt;/author&gt;&lt;author&gt;&lt;lastName&gt;Oliva&lt;/lastName&gt;&lt;firstName&gt;Baldo&lt;/firstName&gt;&lt;/author&gt;&lt;author&gt;&lt;lastName&gt;Guney&lt;/lastName&gt;&lt;firstName&gt;Emre&lt;/firstName&gt;&lt;/author&gt;&lt;/authors&gt;&lt;/publication&gt;&lt;/publications&gt;&lt;cites&gt;&lt;/cites&gt;&lt;/citation&gt;</w:instrText>
      </w:r>
      <w:r w:rsidRPr="000728BE">
        <w:fldChar w:fldCharType="separate"/>
      </w:r>
      <w:r w:rsidRPr="000728BE">
        <w:t>(</w:t>
      </w:r>
      <w:r w:rsidRPr="000728BE">
        <w:rPr>
          <w:i/>
          <w:iCs/>
        </w:rPr>
        <w:t>11</w:t>
      </w:r>
      <w:r w:rsidRPr="000728BE">
        <w:t>)</w:t>
      </w:r>
      <w:r w:rsidRPr="000728BE">
        <w:fldChar w:fldCharType="end"/>
      </w:r>
      <w:r w:rsidRPr="000728BE">
        <w:t xml:space="preserve">, for identifying drug-drug interactions (DDIs) </w:t>
      </w:r>
      <w:r w:rsidRPr="000728BE">
        <w:fldChar w:fldCharType="begin"/>
      </w:r>
      <w:r w:rsidRPr="000728BE">
        <w:instrText xml:space="preserve"> ADDIN PAPERS2_CITATIONS &lt;citation&gt;&lt;priority&gt;2&lt;/priority&gt;&lt;uuid&gt;2875E49D-1899-453A-80D1-8FBBA4368F53&lt;/uuid&gt;&lt;publications&gt;&lt;publication&gt;&lt;subtype&gt;400&lt;/subtype&gt;&lt;title&gt;Modeling polypharmacy side effects with graph convolutional networks.&lt;/title&gt;&lt;url&gt;https://academic.oup.com/bioinformatics/article/34/13/i457/5045770&lt;/url&gt;&lt;volume&gt;34&lt;/volume&gt;&lt;publication_date&gt;99201807011200000000222000&lt;/publication_date&gt;&lt;uuid&gt;69B5D52C-8BF2-43B0-A42A-2EE50E9E79D7&lt;/uuid&gt;&lt;type&gt;400&lt;/type&gt;&lt;number&gt;13&lt;/number&gt;&lt;doi&gt;10.1093/bioinformatics/bty294&lt;/doi&gt;&lt;institution&gt;Department of Computer Science, Stanford University, Stanford, CA, USA.&lt;/institution&gt;&lt;startpage&gt;i457&lt;/startpage&gt;&lt;endpage&gt;i466&lt;/endpage&gt;&lt;bundle&gt;&lt;publication&gt;&lt;title&gt;Bioinformatics&lt;/title&gt;&lt;uuid&gt;2312A338-A6A5-4469-B1C4-828C7F97F7E8&lt;/uuid&gt;&lt;subtype&gt;-100&lt;/subtype&gt;&lt;publisher&gt;Oxford University Press&lt;/publisher&gt;&lt;type&gt;-100&lt;/type&gt;&lt;/publication&gt;&lt;/bundle&gt;&lt;authors&gt;&lt;author&gt;&lt;lastName&gt;Zitnik&lt;/lastName&gt;&lt;firstName&gt;Marinka&lt;/firstName&gt;&lt;/author&gt;&lt;author&gt;&lt;lastName&gt;Agrawal&lt;/lastName&gt;&lt;firstName&gt;Monica&lt;/firstName&gt;&lt;/author&gt;&lt;author&gt;&lt;lastName&gt;Leskovec&lt;/lastName&gt;&lt;firstName&gt;Jure&lt;/firstName&gt;&lt;/author&gt;&lt;/authors&gt;&lt;/publication&gt;&lt;publication&gt;&lt;subtype&gt;400&lt;/subtype&gt;&lt;title&gt;In silico profiling of systemic effects of drugs to predict unexpected interactions.&lt;/title&gt;&lt;url&gt;http://www.nature.com/articles/s41598-018-19614-5&lt;/url&gt;&lt;volume&gt;8&lt;/volume&gt;&lt;publication_date&gt;99201801251200000000222000&lt;/publication_date&gt;&lt;uuid&gt;A65C8B30-4447-4B44-B535-EF22CDB0B68F&lt;/uuid&gt;&lt;type&gt;400&lt;/type&gt;&lt;accepted_date&gt;99201801031200000000222000&lt;/accepted_date&gt;&lt;number&gt;1&lt;/number&gt;&lt;submission_date&gt;99201711201200000000222000&lt;/submission_date&gt;&lt;doi&gt;10.1038/s41598-018-19614-5&lt;/doi&gt;&lt;institution&gt;Department of Bio and Brain Engineering, Korea Advanced Institute of Science and Technology (KAIST), Daejeon, 34141, Republic of Korea.&lt;/institution&gt;&lt;startpage&gt;1612&lt;/startpage&gt;&lt;bundle&gt;&lt;publication&gt;&lt;title&gt;Nature Publishing Group&lt;/title&gt;&lt;uuid&gt;7AFE08A9-06AA-42AB-B75F-BC9E7DA9E137&lt;/uuid&gt;&lt;subtype&gt;-100&lt;/subtype&gt;&lt;publisher&gt;Nature Publishing Group&lt;/publisher&gt;&lt;type&gt;-100&lt;/type&gt;&lt;/publication&gt;&lt;/bundle&gt;&lt;authors&gt;&lt;author&gt;&lt;lastName&gt;Yoo&lt;/lastName&gt;&lt;firstName&gt;Sunyong&lt;/firstName&gt;&lt;/author&gt;&lt;author&gt;&lt;lastName&gt;Noh&lt;/lastName&gt;&lt;firstName&gt;Kyungrin&lt;/firstName&gt;&lt;/author&gt;&lt;author&gt;&lt;lastName&gt;Shin&lt;/lastName&gt;&lt;firstName&gt;Moonshik&lt;/firstName&gt;&lt;/author&gt;&lt;author&gt;&lt;lastName&gt;Park&lt;/lastName&gt;&lt;firstName&gt;Junseok&lt;/firstName&gt;&lt;/author&gt;&lt;author&gt;&lt;lastName&gt;Lee&lt;/lastName&gt;&lt;firstName&gt;Kwang-Hyung&lt;/firstName&gt;&lt;/author&gt;&lt;author&gt;&lt;lastName&gt;Nam&lt;/lastName&gt;&lt;firstName&gt;Hojung&lt;/firstName&gt;&lt;/author&gt;&lt;author&gt;&lt;lastName&gt;Lee&lt;/lastName&gt;&lt;firstName&gt;Doheon&lt;/firstName&gt;&lt;/author&gt;&lt;/authors&gt;&lt;/publication&gt;&lt;/publications&gt;&lt;cites&gt;&lt;/cites&gt;&lt;/citation&gt;</w:instrText>
      </w:r>
      <w:r w:rsidRPr="000728BE">
        <w:fldChar w:fldCharType="separate"/>
      </w:r>
      <w:r w:rsidRPr="000728BE">
        <w:t>(</w:t>
      </w:r>
      <w:r w:rsidRPr="000728BE">
        <w:rPr>
          <w:i/>
          <w:iCs/>
        </w:rPr>
        <w:t>12</w:t>
      </w:r>
      <w:r w:rsidRPr="000728BE">
        <w:t xml:space="preserve">, </w:t>
      </w:r>
      <w:r w:rsidRPr="000728BE">
        <w:rPr>
          <w:i/>
          <w:iCs/>
        </w:rPr>
        <w:t>13</w:t>
      </w:r>
      <w:r w:rsidRPr="000728BE">
        <w:t>)</w:t>
      </w:r>
      <w:r w:rsidRPr="000728BE">
        <w:fldChar w:fldCharType="end"/>
      </w:r>
      <w:r w:rsidRPr="000728BE">
        <w:t xml:space="preserve"> and for understanding disease mechanisms </w:t>
      </w:r>
      <w:r w:rsidRPr="000728BE">
        <w:fldChar w:fldCharType="begin"/>
      </w:r>
      <w:r w:rsidRPr="000728BE">
        <w:instrText xml:space="preserve"> ADDIN PAPERS2_CITATIONS &lt;citation&gt;&lt;priority&gt;3&lt;/priority&gt;&lt;uuid&gt;E43820AB-4EC9-4344-9FAE-4C0F14DEC074&lt;/uuid&gt;&lt;publications&gt;&lt;publication&gt;&lt;subtype&gt;400&lt;/subtype&gt;&lt;publisher&gt;Nature Publishing Group&lt;/publisher&gt;&lt;title&gt;Identification of disease treatment mechanisms through the multiscale interactome&lt;/title&gt;&lt;url&gt;https://www.nature.com/articles/s41467-021-21770-8&lt;/url&gt;&lt;volume&gt;12&lt;/volume&gt;&lt;publication_date&gt;99202103191200000000222000&lt;/publication_date&gt;&lt;uuid&gt;F0FD2455-D1D2-4F40-8FC7-E01F8B1A298F&lt;/uuid&gt;&lt;type&gt;400&lt;/type&gt;&lt;number&gt;1&lt;/number&gt;&lt;doi&gt;10.1038/s41467-021-21770-8&lt;/doi&gt;&lt;startpage&gt;1&lt;/startpage&gt;&lt;endpage&gt;15&lt;/endpage&gt;&lt;bundle&gt;&lt;publication&gt;&lt;title&gt;Nature communications&lt;/title&gt;&lt;uuid&gt;4C0A7D90-D869-4B09-BC94-545C7A809D03&lt;/uuid&gt;&lt;subtype&gt;-100&lt;/subtype&gt;&lt;publisher&gt;Nature Publishing Group&lt;/publisher&gt;&lt;type&gt;-100&lt;/type&gt;&lt;/publication&gt;&lt;/bundle&gt;&lt;authors&gt;&lt;author&gt;&lt;lastName&gt;Ruiz&lt;/lastName&gt;&lt;firstName&gt;Camilo&lt;/firstName&gt;&lt;/author&gt;&lt;author&gt;&lt;lastName&gt;Zitnik&lt;/lastName&gt;&lt;firstName&gt;Marinka&lt;/firstName&gt;&lt;/author&gt;&lt;author&gt;&lt;lastName&gt;Leskovec&lt;/lastName&gt;&lt;firstName&gt;Jure&lt;/firstName&gt;&lt;/author&gt;&lt;/authors&gt;&lt;/publication&gt;&lt;/publications&gt;&lt;cites&gt;&lt;/cites&gt;&lt;/citation&gt;</w:instrText>
      </w:r>
      <w:r w:rsidRPr="000728BE">
        <w:fldChar w:fldCharType="separate"/>
      </w:r>
      <w:r w:rsidRPr="000728BE">
        <w:t>(</w:t>
      </w:r>
      <w:r w:rsidRPr="000728BE">
        <w:rPr>
          <w:i/>
          <w:iCs/>
        </w:rPr>
        <w:t>14</w:t>
      </w:r>
      <w:r w:rsidRPr="000728BE">
        <w:t>)</w:t>
      </w:r>
      <w:r w:rsidRPr="000728BE">
        <w:fldChar w:fldCharType="end"/>
      </w:r>
      <w:r w:rsidRPr="000728BE">
        <w:t xml:space="preserve">. Already, there is mounting evidence that </w:t>
      </w:r>
      <w:r w:rsidRPr="000728BE">
        <w:lastRenderedPageBreak/>
        <w:t>single and combination</w:t>
      </w:r>
      <w:r w:rsidR="008D2D3F">
        <w:t xml:space="preserve"> </w:t>
      </w:r>
      <w:r w:rsidR="008D2D3F" w:rsidRPr="000728BE">
        <w:t>drug</w:t>
      </w:r>
      <w:r w:rsidRPr="000728BE">
        <w:t xml:space="preserve"> effects propagate through protein networks. Yet, downstream PPIs are not routinely used to anticipate drug effects in regulatory and industry settings because of the propensity of these models to over-predict drug phenotypes. We recently developed a per-phenotype PPI network approach that improved prediction performance 50% and increased average precision 76-95% when anticipating single drug adverse events, compared to global approaches (</w:t>
      </w:r>
      <w:r w:rsidR="00D821A2">
        <w:rPr>
          <w:i/>
          <w:iCs/>
        </w:rPr>
        <w:t>in press</w:t>
      </w:r>
      <w:r w:rsidRPr="000728BE">
        <w:t xml:space="preserve">, </w:t>
      </w:r>
      <w:proofErr w:type="spellStart"/>
      <w:r w:rsidRPr="000728BE">
        <w:t>doi</w:t>
      </w:r>
      <w:proofErr w:type="spellEnd"/>
      <w:r w:rsidRPr="000728BE">
        <w:t xml:space="preserve">: </w:t>
      </w:r>
      <w:hyperlink r:id="rId11" w:history="1">
        <w:r w:rsidRPr="000728BE">
          <w:rPr>
            <w:rStyle w:val="Hyperlink"/>
          </w:rPr>
          <w:t>https://doi.org/10.1101/2020.12.15.422844</w:t>
        </w:r>
      </w:hyperlink>
      <w:r w:rsidRPr="000728BE">
        <w:t>). Interestingly, downstream proteins, relative to drug targets, were highly weighted in predicting a drug’s adverse outcome. Further</w:t>
      </w:r>
      <w:r w:rsidR="00D821A2">
        <w:t>,</w:t>
      </w:r>
      <w:r w:rsidRPr="000728BE">
        <w:t xml:space="preserve"> downstream proteins distinguished true from false positive predictions and were integral to preventing over-prediction. Because drug effects propagate through networks and our previous discovery that downstream proteins were predictive of drug adverse outcomes, we hypothesized that downstream proteins could be predictive of DDIs when drugs did not share binding proteins.</w:t>
      </w:r>
    </w:p>
    <w:p w14:paraId="0A63F9A5" w14:textId="32D6DD24" w:rsidR="000728BE" w:rsidRPr="000728BE" w:rsidRDefault="000728BE" w:rsidP="000D3216">
      <w:pPr>
        <w:pStyle w:val="Paragraph"/>
        <w:spacing w:line="480" w:lineRule="auto"/>
        <w:ind w:firstLine="0"/>
      </w:pPr>
      <w:r w:rsidRPr="000728BE">
        <w:t xml:space="preserve">We explored the extent to which protein-protein interactions downstream from the targets of two drugs were sufficient to predict DDIs in cases where the drugs had distinct binding proteins (motivated in </w:t>
      </w:r>
      <w:r w:rsidRPr="000728BE">
        <w:rPr>
          <w:b/>
          <w:bCs/>
        </w:rPr>
        <w:t>Fig. 1.</w:t>
      </w:r>
      <w:r w:rsidRPr="000728BE">
        <w:t>) (We refer to drug targets, enzymes, carriers</w:t>
      </w:r>
      <w:r w:rsidR="00D821A2">
        <w:t>,</w:t>
      </w:r>
      <w:r w:rsidRPr="000728BE">
        <w:t xml:space="preserve"> or transporters as “targets” in the rest of this analysis.) To complete this </w:t>
      </w:r>
      <w:r w:rsidR="00CF2E50" w:rsidRPr="000728BE">
        <w:t>analysis,</w:t>
      </w:r>
      <w:r w:rsidRPr="000728BE">
        <w:t xml:space="preserve"> we generated a novel set of drug-adverse-reaction (ADR) pairs by extracting these relationships from the drugs’ labels. Informed by the success of our per-phenotype PPI approach, we used meta-analysis to prioritize proteins downstream of targets of drugs labeled with the same ADR and re-classified drugs using these network proteins. We then predicted DDIs for drugs using their network class. We validated predicted combinations using novel observational studies in the electronic health record and demonstrated an ability to detect rare DDIs using protein interactions downstream of their targets. Although we used ADRs as a case study, our network paradigm is broadly applicable to </w:t>
      </w:r>
      <w:r w:rsidRPr="000728BE">
        <w:lastRenderedPageBreak/>
        <w:t>all biological phenotypes, suggesting a relatively simple, and useful approach for anticipating drug synergistic effects generally.</w:t>
      </w:r>
    </w:p>
    <w:p w14:paraId="7BDB5ABE" w14:textId="77777777" w:rsidR="004A10BE" w:rsidRPr="00175CBB" w:rsidRDefault="009B1602" w:rsidP="000D3216">
      <w:pPr>
        <w:pStyle w:val="Paragraph"/>
        <w:spacing w:line="480" w:lineRule="auto"/>
        <w:ind w:firstLine="0"/>
      </w:pPr>
      <w:r w:rsidRPr="00175CBB">
        <w:rPr>
          <w:b/>
        </w:rPr>
        <w:t>RESULTS</w:t>
      </w:r>
      <w:r w:rsidRPr="00175CBB">
        <w:t xml:space="preserve"> </w:t>
      </w:r>
    </w:p>
    <w:p w14:paraId="459B3249" w14:textId="773E6749" w:rsidR="000728BE" w:rsidRPr="000728BE" w:rsidRDefault="000728BE" w:rsidP="000D3216">
      <w:pPr>
        <w:pStyle w:val="Paragraph"/>
        <w:spacing w:line="480" w:lineRule="auto"/>
        <w:ind w:firstLine="0"/>
        <w:rPr>
          <w:b/>
          <w:bCs/>
          <w:iCs/>
        </w:rPr>
      </w:pPr>
      <w:r w:rsidRPr="000728BE">
        <w:rPr>
          <w:b/>
          <w:bCs/>
          <w:iCs/>
        </w:rPr>
        <w:t>Network analysis of single drugs with the same ADR</w:t>
      </w:r>
    </w:p>
    <w:p w14:paraId="18899396" w14:textId="5CD39BFB" w:rsidR="000728BE" w:rsidRPr="000728BE" w:rsidRDefault="000728BE" w:rsidP="000D3216">
      <w:pPr>
        <w:pStyle w:val="Paragraph"/>
        <w:spacing w:line="480" w:lineRule="auto"/>
        <w:ind w:firstLine="0"/>
      </w:pPr>
      <w:r w:rsidRPr="000728BE">
        <w:t xml:space="preserve">We first discovered PPI associations between a drug’s target(s) and adverse drug reactions listed in the drug product’s FDA-approved drug labeling. Specifically, we focused our investigation on a list of designated medical events which are adverse drug reactions (ADRs) of high priority in regulatory review. We used a natural language processing method to extract ADRs from the warnings, boxed warnings, </w:t>
      </w:r>
      <w:r w:rsidR="00C20729">
        <w:t xml:space="preserve">adverse reactions, </w:t>
      </w:r>
      <w:r w:rsidRPr="000728BE">
        <w:t xml:space="preserve">and precautions sections of the drugs’ labels. This analysis yielded associations between 1,970 drugs and 34 ARs. This provided a unique dataset for interrogating network proteins of drugs associated with ADRs. </w:t>
      </w:r>
    </w:p>
    <w:p w14:paraId="70EF9258" w14:textId="37618650" w:rsidR="000728BE" w:rsidRPr="000728BE" w:rsidRDefault="000728BE" w:rsidP="000D3216">
      <w:pPr>
        <w:pStyle w:val="Paragraph"/>
        <w:spacing w:line="480" w:lineRule="auto"/>
        <w:ind w:firstLine="0"/>
      </w:pPr>
      <w:r w:rsidRPr="000728BE">
        <w:t xml:space="preserve">For network analysis, we restricted our </w:t>
      </w:r>
      <w:r w:rsidR="00AB75B7" w:rsidRPr="000728BE">
        <w:t>analysis</w:t>
      </w:r>
      <w:r w:rsidRPr="000728BE">
        <w:t xml:space="preserve"> to 1,136 drugs that had drug-binding proteins listed in DrugBank</w:t>
      </w:r>
      <w:r w:rsidRPr="000728BE">
        <w:fldChar w:fldCharType="begin"/>
      </w:r>
      <w:r w:rsidRPr="000728BE">
        <w:instrText xml:space="preserve"> ADDIN PAPERS2_CITATIONS &lt;citation&gt;&lt;priority&gt;7&lt;/priority&gt;&lt;uuid&gt;A19FC95F-F14E-415F-A39A-64913E76FD32&lt;/uuid&gt;&lt;publications&gt;&lt;publication&gt;&lt;subtype&gt;400&lt;/subtype&gt;&lt;title&gt;DrugBank: a comprehensive resource for in silico drug discovery and exploration.&lt;/title&gt;&lt;url&gt;https://academic.oup.com/nar/article-lookup/doi/10.1093/nar/gkj067&lt;/url&gt;&lt;volume&gt;34&lt;/volume&gt;&lt;publication_date&gt;99200601011200000000222000&lt;/publication_date&gt;&lt;uuid&gt;780804CB-0E39-4512-B910-F594F7FF587F&lt;/uuid&gt;&lt;type&gt;400&lt;/type&gt;&lt;number&gt;Database issue&lt;/number&gt;&lt;doi&gt;10.1093/nar/gkj067&lt;/doi&gt;&lt;institution&gt;Department of Computing Science, University of Alberta, Edmonton, AB, Canada T6G 2E8. david.wishart@ualberta.ca&lt;/institution&gt;&lt;startpage&gt;D668&lt;/startpage&gt;&lt;endpage&gt;72&lt;/endpage&gt;&lt;bundle&gt;&lt;publication&gt;&lt;title&gt;Nucleic Acids Research&lt;/title&gt;&lt;uuid&gt;77B9E7DD-0BF1-416E-99FA-12526CA70A29&lt;/uuid&gt;&lt;subtype&gt;-100&lt;/subtype&gt;&lt;publisher&gt;Oxford University Press&lt;/publisher&gt;&lt;type&gt;-100&lt;/type&gt;&lt;/publication&gt;&lt;/bundle&gt;&lt;authors&gt;&lt;author&gt;&lt;lastName&gt;Wishart&lt;/lastName&gt;&lt;firstName&gt;David&lt;/firstName&gt;&lt;middleNames&gt;S&lt;/middleNames&gt;&lt;/author&gt;&lt;author&gt;&lt;lastName&gt;Knox&lt;/lastName&gt;&lt;firstName&gt;Craig&lt;/firstName&gt;&lt;/author&gt;&lt;author&gt;&lt;lastName&gt;Guo&lt;/lastName&gt;&lt;firstName&gt;An&lt;/firstName&gt;&lt;middleNames&gt;Chi&lt;/middleNames&gt;&lt;/author&gt;&lt;author&gt;&lt;lastName&gt;Shrivastava&lt;/lastName&gt;&lt;firstName&gt;Savita&lt;/firstName&gt;&lt;/author&gt;&lt;author&gt;&lt;lastName&gt;Hassanali&lt;/lastName&gt;&lt;firstName&gt;Murtaza&lt;/firstName&gt;&lt;/author&gt;&lt;author&gt;&lt;lastName&gt;Stothard&lt;/lastName&gt;&lt;firstName&gt;Paul&lt;/firstName&gt;&lt;/author&gt;&lt;author&gt;&lt;lastName&gt;Chang&lt;/lastName&gt;&lt;firstName&gt;Zhan&lt;/firstName&gt;&lt;/author&gt;&lt;author&gt;&lt;lastName&gt;Woolsey&lt;/lastName&gt;&lt;firstName&gt;Jennifer&lt;/firstName&gt;&lt;/author&gt;&lt;/authors&gt;&lt;/publication&gt;&lt;/publications&gt;&lt;cites&gt;&lt;/cites&gt;&lt;/citation&gt;</w:instrText>
      </w:r>
      <w:r w:rsidRPr="000728BE">
        <w:fldChar w:fldCharType="separate"/>
      </w:r>
      <w:r w:rsidRPr="000728BE">
        <w:t>(</w:t>
      </w:r>
      <w:r w:rsidRPr="000728BE">
        <w:rPr>
          <w:i/>
          <w:iCs/>
        </w:rPr>
        <w:t>3</w:t>
      </w:r>
      <w:r w:rsidRPr="000728BE">
        <w:t>)</w:t>
      </w:r>
      <w:r w:rsidRPr="000728BE">
        <w:fldChar w:fldCharType="end"/>
      </w:r>
      <w:r w:rsidRPr="000728BE">
        <w:t xml:space="preserve"> and further restricted to 970 drugs whose targets were connected in our PPI network</w:t>
      </w:r>
      <w:r w:rsidRPr="000728BE">
        <w:fldChar w:fldCharType="begin"/>
      </w:r>
      <w:r w:rsidRPr="000728BE">
        <w:instrText xml:space="preserve"> ADDIN PAPERS2_CITATIONS &lt;citation&gt;&lt;priority&gt;8&lt;/priority&gt;&lt;uuid&gt;142AAFF5-FE08-4C0D-BF19-57BBDDFD2B27&lt;/uuid&gt;&lt;publications&gt;&lt;publication&gt;&lt;subtype&gt;400&lt;/subtype&gt;&lt;publisher&gt;Public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s&gt;&lt;cites&gt;&lt;/cites&gt;&lt;/citation&gt;</w:instrText>
      </w:r>
      <w:r w:rsidRPr="000728BE">
        <w:fldChar w:fldCharType="separate"/>
      </w:r>
      <w:r w:rsidRPr="000728BE">
        <w:t>(</w:t>
      </w:r>
      <w:r w:rsidRPr="000728BE">
        <w:rPr>
          <w:i/>
          <w:iCs/>
        </w:rPr>
        <w:t>8</w:t>
      </w:r>
      <w:r w:rsidRPr="000728BE">
        <w:t>)</w:t>
      </w:r>
      <w:r w:rsidRPr="000728BE">
        <w:fldChar w:fldCharType="end"/>
      </w:r>
      <w:r w:rsidRPr="000728BE">
        <w:t xml:space="preserve">. We used the PathFX algorithm </w:t>
      </w:r>
      <w:r w:rsidRPr="000728BE">
        <w:fldChar w:fldCharType="begin"/>
      </w:r>
      <w:r w:rsidRPr="000728BE">
        <w:instrText xml:space="preserve"> ADDIN PAPERS2_CITATIONS &lt;citation&gt;&lt;priority&gt;6&lt;/priority&gt;&lt;uuid&gt;278DD33D-EFBA-4223-BB38-17861E859DE9&lt;/uuid&gt;&lt;publications&gt;&lt;publication&gt;&lt;subtype&gt;400&lt;/subtype&gt;&lt;publisher&gt;Public Library of Science&lt;/publisher&gt;&lt;title&gt;PathFX provides mechanistic insights into drug efficacy and safety for regulatory review and therapeutic development&lt;/title&gt;&lt;url&gt;http://dx.plos.org/10.1371/journal.pcbi.1006614&lt;/url&gt;&lt;volume&gt;14&lt;/volume&gt;&lt;publication_date&gt;99201812071200000000222000&lt;/publication_date&gt;&lt;uuid&gt;89BF45B4-E71F-4B4A-A87F-72D061E7508F&lt;/uuid&gt;&lt;type&gt;400&lt;/type&gt;&lt;number&gt;12&lt;/number&gt;&lt;doi&gt;10.1371/journal.pcbi.1006614&lt;/doi&gt;&lt;startpage&gt;e1006614&lt;/startpage&gt;&lt;endpage&gt;27&lt;/endpage&gt;&lt;bundle&gt;&lt;publication&gt;&lt;title&gt;PLoS computational biology&lt;/title&gt;&lt;uuid&gt;5FC795DD-E0AD-400C-97E6-117626AACE93&lt;/uuid&gt;&lt;subtype&gt;-100&lt;/subtype&gt;&lt;publisher&gt;Public Library of Science&lt;/publisher&gt;&lt;type&gt;-100&lt;/type&gt;&lt;citekey&gt;Anonymous:S/hY2jPn&lt;/citekey&gt;&lt;/publication&gt;&lt;/bundle&gt;&lt;authors&gt;&lt;author&gt;&lt;lastName&gt;Wilson&lt;/lastName&gt;&lt;firstName&gt;Jennifer&lt;/firstName&gt;&lt;middleNames&gt;L&lt;/middleNames&gt;&lt;/author&gt;&lt;author&gt;&lt;lastName&gt;Racz&lt;/lastName&gt;&lt;firstName&gt;Rebecca&lt;/firstName&gt;&lt;/author&gt;&lt;author&gt;&lt;lastName&gt;Liu&lt;/lastName&gt;&lt;firstName&gt;Tianyun&lt;/firstName&gt;&lt;/author&gt;&lt;author&gt;&lt;lastName&gt;Adeniyi&lt;/lastName&gt;&lt;firstName&gt;Oluseyi&lt;/firstName&gt;&lt;/author&gt;&lt;author&gt;&lt;lastName&gt;Sun&lt;/lastName&gt;&lt;firstName&gt;Jielin&lt;/firstName&gt;&lt;/author&gt;&lt;author&gt;&lt;lastName&gt;Ramamoorthy&lt;/lastName&gt;&lt;firstName&gt;Anuradha&lt;/firstName&gt;&lt;/author&gt;&lt;author&gt;&lt;lastName&gt;Pacanowski&lt;/lastName&gt;&lt;firstName&gt;Michael&lt;/firstName&gt;&lt;/author&gt;&lt;author&gt;&lt;lastName&gt;Altman&lt;/lastName&gt;&lt;firstName&gt;Russ&lt;/firstName&gt;&lt;/author&gt;&lt;/authors&gt;&lt;editors&gt;&lt;author&gt;&lt;lastName&gt;Schlessinger&lt;/lastName&gt;&lt;firstName&gt;Avner&lt;/firstName&gt;&lt;/author&gt;&lt;/editors&gt;&lt;/publication&gt;&lt;/publications&gt;&lt;cites&gt;&lt;/cites&gt;&lt;/citation&gt;</w:instrText>
      </w:r>
      <w:r w:rsidRPr="000728BE">
        <w:fldChar w:fldCharType="separate"/>
      </w:r>
      <w:r w:rsidRPr="000728BE">
        <w:t>(</w:t>
      </w:r>
      <w:r w:rsidRPr="000728BE">
        <w:rPr>
          <w:i/>
          <w:iCs/>
        </w:rPr>
        <w:t>8</w:t>
      </w:r>
      <w:r w:rsidRPr="000728BE">
        <w:t>)</w:t>
      </w:r>
      <w:r w:rsidRPr="000728BE">
        <w:fldChar w:fldCharType="end"/>
      </w:r>
      <w:r w:rsidRPr="000728BE">
        <w:t xml:space="preserve"> to create networks for these drugs (</w:t>
      </w:r>
      <w:r w:rsidRPr="000728BE">
        <w:rPr>
          <w:b/>
          <w:bCs/>
        </w:rPr>
        <w:t>Fig. 2.,</w:t>
      </w:r>
      <w:r w:rsidRPr="000728BE">
        <w:t xml:space="preserve"> </w:t>
      </w:r>
      <w:r w:rsidRPr="000728BE">
        <w:rPr>
          <w:b/>
          <w:bCs/>
        </w:rPr>
        <w:t>Sup. File 1.</w:t>
      </w:r>
      <w:r w:rsidRPr="000728BE">
        <w:t xml:space="preserve">). Compared to other PPI network models, PathFX used the amount and quality of evidence supporting PPIs around drug targets to prioritize downstream proteins and then used statistical enrichment to discover phenotypes enriched in the drug’s network. Importantly, PathFX </w:t>
      </w:r>
      <w:r w:rsidR="00D821A2">
        <w:t>was</w:t>
      </w:r>
      <w:r w:rsidRPr="000728BE">
        <w:t xml:space="preserve"> naïve to a drug’s true set of phenotypes (e.g.</w:t>
      </w:r>
      <w:r w:rsidR="006E610F">
        <w:t>,</w:t>
      </w:r>
      <w:r w:rsidRPr="000728BE">
        <w:t xml:space="preserve"> an ADR from the drug label or the </w:t>
      </w:r>
      <w:proofErr w:type="gramStart"/>
      <w:r w:rsidRPr="000728BE">
        <w:t>drug’s</w:t>
      </w:r>
      <w:proofErr w:type="gramEnd"/>
      <w:r w:rsidRPr="000728BE">
        <w:t xml:space="preserve"> intend-to-treat disease) and instead use</w:t>
      </w:r>
      <w:r w:rsidR="00D821A2">
        <w:t>d</w:t>
      </w:r>
      <w:r w:rsidRPr="000728BE">
        <w:t xml:space="preserve"> the corpus of evidence to anticipate drug network associations (further discussed in methods). PathFX discovered network associations for 424 drugs to 24 ARs.</w:t>
      </w:r>
    </w:p>
    <w:p w14:paraId="31CE244B" w14:textId="77EE78DA" w:rsidR="000728BE" w:rsidRPr="000728BE" w:rsidRDefault="000728BE" w:rsidP="000D3216">
      <w:pPr>
        <w:pStyle w:val="Paragraph"/>
        <w:spacing w:line="480" w:lineRule="auto"/>
        <w:ind w:firstLine="0"/>
      </w:pPr>
      <w:r w:rsidRPr="000728BE">
        <w:lastRenderedPageBreak/>
        <w:t>This analysis discovered downstream proteins that were common to multiple drug-ADR pairs and distinct to ADRs (</w:t>
      </w:r>
      <w:r w:rsidRPr="000728BE">
        <w:rPr>
          <w:b/>
          <w:bCs/>
        </w:rPr>
        <w:t>Fig 3A.</w:t>
      </w:r>
      <w:r w:rsidRPr="000728BE">
        <w:t xml:space="preserve">, </w:t>
      </w:r>
      <w:r w:rsidRPr="000728BE">
        <w:rPr>
          <w:b/>
          <w:bCs/>
        </w:rPr>
        <w:t>Sup. File 2.</w:t>
      </w:r>
      <w:r w:rsidRPr="000728BE">
        <w:t>,</w:t>
      </w:r>
      <w:r w:rsidRPr="000728BE">
        <w:rPr>
          <w:b/>
          <w:bCs/>
        </w:rPr>
        <w:t xml:space="preserve"> Sup. File 3.</w:t>
      </w:r>
      <w:r w:rsidRPr="000728BE">
        <w:t xml:space="preserve">). For example, for drugs </w:t>
      </w:r>
      <w:r w:rsidR="00AB75B7" w:rsidRPr="000728BE">
        <w:t>labeled</w:t>
      </w:r>
      <w:r w:rsidRPr="000728BE">
        <w:t xml:space="preserve"> with sepsis, their networks shared drug-binding and downstream proteins (</w:t>
      </w:r>
      <w:r w:rsidRPr="000728BE">
        <w:rPr>
          <w:b/>
          <w:bCs/>
        </w:rPr>
        <w:t>Fig. 3B</w:t>
      </w:r>
      <w:r w:rsidRPr="000728BE">
        <w:t xml:space="preserve">). </w:t>
      </w:r>
      <w:r w:rsidR="00AB75B7" w:rsidRPr="000728BE">
        <w:t>Because</w:t>
      </w:r>
      <w:r w:rsidRPr="000728BE">
        <w:t xml:space="preserve"> of these patterns, we reclassified drugs based on shared downstream proteins (</w:t>
      </w:r>
      <w:r w:rsidRPr="000728BE">
        <w:rPr>
          <w:b/>
          <w:bCs/>
        </w:rPr>
        <w:t>Fig. 2B</w:t>
      </w:r>
      <w:r w:rsidRPr="000728BE">
        <w:t xml:space="preserve">). For instance, multiple drugs associated with sepsis contained </w:t>
      </w:r>
      <w:r w:rsidR="00D821A2">
        <w:t xml:space="preserve">the </w:t>
      </w:r>
      <w:r w:rsidRPr="000728BE">
        <w:t xml:space="preserve">adrenoreceptor beta 2 (ADRB2) downstream of their drug targets; this yielded two new classes for sepsis-associated drugs: “ADBR2 network” drugs and “non-ADBR2 network” drugs. We repeated this reclassification for all shared downstream proteins across all 24 ARs and tracked two types of network proteins for classification – ADR-associated network proteins (ARPs) or any protein on a shortest-path between a drug target and ADR protein (SPs). We discovered 172 network classes (each corresponding to 172 “non-Gene-net” classes) across 12 ADRs or 1,623 classes across 24 ADRs using ARPs, or SPs, respectively. </w:t>
      </w:r>
    </w:p>
    <w:p w14:paraId="4C53217E" w14:textId="77777777" w:rsidR="000728BE" w:rsidRPr="000728BE" w:rsidRDefault="000728BE" w:rsidP="000D3216">
      <w:pPr>
        <w:pStyle w:val="Paragraph"/>
        <w:spacing w:line="480" w:lineRule="auto"/>
        <w:ind w:firstLine="0"/>
      </w:pPr>
      <w:r w:rsidRPr="000728BE">
        <w:t xml:space="preserve">Next, using non-ADR drugs, we predicted novel DDIs for each network class where non-ADR drugs had target proteins downstream in the network class. For instance, ADBR2 is a target for the drug albuterol and albuterol is not associated with sepsis on its label. We predicted that “ADBR2 network” drugs would interact with albuterol to affect sepsis outcomes. In total, we predicted 18,988 drug-drug-ADR combinations using ARPs (51,605 combinations using SPs) from network classification. We further removed predicted DDIs if the drugs shared any target proteins because we were motivated to understand DDI effects due to downstream proteins. This yielded 6,098 drug-drug-ADR triplets using ARPs (19,741 triplets using SPs) representing 5,246 unique drug-drug pairs using ARPs (11,904 unique pairs using SPs) for further consideration (some drug-drug pairs were associated with multiple ADRs). </w:t>
      </w:r>
    </w:p>
    <w:p w14:paraId="327978EE" w14:textId="77777777" w:rsidR="000728BE" w:rsidRDefault="000728BE" w:rsidP="000D3216">
      <w:pPr>
        <w:pStyle w:val="Teaser"/>
        <w:spacing w:line="480" w:lineRule="auto"/>
        <w:rPr>
          <w:b/>
          <w:bCs/>
        </w:rPr>
      </w:pPr>
      <w:r>
        <w:rPr>
          <w:b/>
          <w:bCs/>
        </w:rPr>
        <w:t>Literature, TWOSIDES evidence supports combination effects and suggests directionality</w:t>
      </w:r>
    </w:p>
    <w:p w14:paraId="4CDE56C3" w14:textId="2F871244" w:rsidR="000728BE" w:rsidRPr="000728BE" w:rsidRDefault="000728BE" w:rsidP="000D3216">
      <w:pPr>
        <w:pStyle w:val="Paragraph"/>
        <w:spacing w:line="480" w:lineRule="auto"/>
        <w:ind w:firstLine="0"/>
      </w:pPr>
      <w:r w:rsidRPr="000728BE">
        <w:lastRenderedPageBreak/>
        <w:t>We estimated the sensitivity of our method by using TWOSIDES</w:t>
      </w:r>
      <w:r w:rsidRPr="000728BE">
        <w:fldChar w:fldCharType="begin"/>
      </w:r>
      <w:r w:rsidRPr="000728BE">
        <w:instrText xml:space="preserve"> ADDIN PAPERS2_CITATIONS &lt;citation&gt;&lt;priority&gt;10&lt;/priority&gt;&lt;uuid&gt;E47AEA8F-CD82-47D1-937D-4504E14393B8&lt;/uuid&gt;&lt;publications&gt;&lt;publication&gt;&lt;subtype&gt;400&lt;/subtype&gt;&lt;title&gt;Detecting Drug Interactions From Adverse-Event Reports: Interaction Between Paroxetine and Pravastatin Increases Blood Glucose Levels&lt;/title&gt;&lt;url&gt;http://doi.wiley.com/10.1038/clpt.2011.83&lt;/url&gt;&lt;volume&gt;90&lt;/volume&gt;&lt;publication_date&gt;99201105251200000000222000&lt;/publication_date&gt;&lt;uuid&gt;15847BF8-FEFA-4B75-B6B6-C803AF38E09F&lt;/uuid&gt;&lt;type&gt;400&lt;/type&gt;&lt;number&gt;1&lt;/number&gt;&lt;doi&gt;10.1038/clpt.2011.83&lt;/doi&gt;&lt;startpage&gt;133&lt;/startpage&gt;&lt;endpage&gt;142&lt;/endpage&gt;&lt;bundle&gt;&lt;publication&gt;&lt;title&gt;Clinical pharmacology and therapeutics&lt;/title&gt;&lt;uuid&gt;A62F58F5-61C1-4A94-84F5-89B80F269501&lt;/uuid&gt;&lt;subtype&gt;-100&lt;/subtype&gt;&lt;publisher&gt;NIH Public Access&lt;/publisher&gt;&lt;type&gt;-100&lt;/type&gt;&lt;/publication&gt;&lt;/bundle&gt;&lt;authors&gt;&lt;author&gt;&lt;lastName&gt;Tatonetti&lt;/lastName&gt;&lt;firstName&gt;N&lt;/firstName&gt;&lt;middleNames&gt;P&lt;/middleNames&gt;&lt;/author&gt;&lt;author&gt;&lt;lastName&gt;Denny&lt;/lastName&gt;&lt;firstName&gt;J&lt;/firstName&gt;&lt;middleNames&gt;C&lt;/middleNames&gt;&lt;/author&gt;&lt;author&gt;&lt;lastName&gt;Murphy&lt;/lastName&gt;&lt;firstName&gt;S&lt;/firstName&gt;&lt;middleNames&gt;N&lt;/middleNames&gt;&lt;/author&gt;&lt;author&gt;&lt;lastName&gt;Fernald&lt;/lastName&gt;&lt;firstName&gt;G&lt;/firstName&gt;&lt;middleNames&gt;H&lt;/middleNames&gt;&lt;/author&gt;&lt;author&gt;&lt;lastName&gt;Krishnan&lt;/lastName&gt;&lt;firstName&gt;G&lt;/firstName&gt;&lt;/author&gt;&lt;author&gt;&lt;lastName&gt;Castro&lt;/lastName&gt;&lt;firstName&gt;V&lt;/firstName&gt;&lt;/author&gt;&lt;author&gt;&lt;lastName&gt;Yue&lt;/lastName&gt;&lt;firstName&gt;P&lt;/firstName&gt;&lt;/author&gt;&lt;author&gt;&lt;lastName&gt;Tsau&lt;/lastName&gt;&lt;firstName&gt;P&lt;/firstName&gt;&lt;middleNames&gt;S&lt;/middleNames&gt;&lt;/author&gt;&lt;author&gt;&lt;lastName&gt;Kohane&lt;/lastName&gt;&lt;firstName&gt;I&lt;/firstName&gt;&lt;/author&gt;&lt;author&gt;&lt;lastName&gt;Roden&lt;/lastName&gt;&lt;firstName&gt;D&lt;/firstName&gt;&lt;middleNames&gt;M&lt;/middleNames&gt;&lt;/author&gt;&lt;author&gt;&lt;lastName&gt;Altman&lt;/lastName&gt;&lt;firstName&gt;R&lt;/firstName&gt;&lt;middleNames&gt;B&lt;/middleNames&gt;&lt;/author&gt;&lt;/authors&gt;&lt;/publication&gt;&lt;publication&gt;&lt;subtype&gt;400&lt;/subtype&gt;&lt;title&gt;A novel signal detection algorithm for identifying hidden drug-drug interactions in adverse event reports.&lt;/title&gt;&lt;url&gt;https://academic.oup.com/jamia/article-lookup/doi/10.1136/amiajnl-2011-000214&lt;/url&gt;&lt;volume&gt;19&lt;/volume&gt;&lt;publication_date&gt;99201201001200000000220000&lt;/publication_date&gt;&lt;uuid&gt;8A691103-3FD4-4126-A3D8-BB747779A2D4&lt;/uuid&gt;&lt;type&gt;400&lt;/type&gt;&lt;number&gt;1&lt;/number&gt;&lt;doi&gt;10.1136/amiajnl-2011-000214&lt;/doi&gt;&lt;institution&gt;Biomedical Informatics Training Program, Stanford University, Stanford, California, USA.&lt;/institution&gt;&lt;startpage&gt;79&lt;/startpage&gt;&lt;endpage&gt;85&lt;/endpage&gt;&lt;bundle&gt;&lt;publication&gt;&lt;title&gt;Journal of the American Medical Informatics Association : JAMIA&lt;/title&gt;&lt;uuid&gt;A137B48D-3BCC-46B2-B343-05E91B41D39B&lt;/uuid&gt;&lt;subtype&gt;-100&lt;/subtype&gt;&lt;type&gt;-100&lt;/type&gt;&lt;/publication&gt;&lt;/bundle&gt;&lt;authors&gt;&lt;author&gt;&lt;lastName&gt;Tatonetti&lt;/lastName&gt;&lt;firstName&gt;Nicholas&lt;/firstName&gt;&lt;middleNames&gt;P&lt;/middleNames&gt;&lt;/author&gt;&lt;author&gt;&lt;lastName&gt;Fernald&lt;/lastName&gt;&lt;firstName&gt;Guy&lt;/firstName&gt;&lt;middleNames&gt;Haskin&lt;/middleNames&gt;&lt;/author&gt;&lt;author&gt;&lt;lastName&gt;Altman&lt;/lastName&gt;&lt;firstName&gt;Russ&lt;/firstName&gt;&lt;middleNames&gt;B&lt;/middleNames&gt;&lt;/author&gt;&lt;/authors&gt;&lt;/publication&gt;&lt;/publications&gt;&lt;cites&gt;&lt;/cites&gt;&lt;/citation&gt;</w:instrText>
      </w:r>
      <w:r w:rsidRPr="000728BE">
        <w:fldChar w:fldCharType="separate"/>
      </w:r>
      <w:r w:rsidRPr="000728BE">
        <w:t>(</w:t>
      </w:r>
      <w:r w:rsidRPr="000728BE">
        <w:rPr>
          <w:i/>
          <w:iCs/>
        </w:rPr>
        <w:t>15</w:t>
      </w:r>
      <w:r w:rsidRPr="000728BE">
        <w:t xml:space="preserve">, </w:t>
      </w:r>
      <w:r w:rsidRPr="000728BE">
        <w:rPr>
          <w:i/>
          <w:iCs/>
        </w:rPr>
        <w:t>16</w:t>
      </w:r>
      <w:r w:rsidRPr="000728BE">
        <w:t>)</w:t>
      </w:r>
      <w:r w:rsidRPr="000728BE">
        <w:fldChar w:fldCharType="end"/>
      </w:r>
      <w:r w:rsidRPr="000728BE">
        <w:t>, a well-regarded dataset for drug combination effects. TWOSIDES use</w:t>
      </w:r>
      <w:r w:rsidR="005C36A4">
        <w:t>s</w:t>
      </w:r>
      <w:r w:rsidRPr="000728BE">
        <w:t xml:space="preserve"> the FDA Adverse Event Reporting System (FAERS) to detect DDIs based on the relative reporting rates of combination drugs as compared to single drugs while controlling for confounding variables</w:t>
      </w:r>
      <w:r w:rsidRPr="000728BE">
        <w:fldChar w:fldCharType="begin"/>
      </w:r>
      <w:r w:rsidRPr="000728BE">
        <w:instrText xml:space="preserve"> ADDIN PAPERS2_CITATIONS &lt;citation&gt;&lt;priority&gt;11&lt;/priority&gt;&lt;uuid&gt;79B9FE7B-F0A0-4341-9867-E2676B7C41E7&lt;/uuid&gt;&lt;publications&gt;&lt;publication&gt;&lt;subtype&gt;400&lt;/subtype&gt;&lt;title&gt;Detecting Drug Interactions From Adverse-Event Reports: Interaction Between Paroxetine and Pravastatin Increases Blood Glucose Levels&lt;/title&gt;&lt;url&gt;http://doi.wiley.com/10.1038/clpt.2011.83&lt;/url&gt;&lt;volume&gt;90&lt;/volume&gt;&lt;publication_date&gt;99201105251200000000222000&lt;/publication_date&gt;&lt;uuid&gt;15847BF8-FEFA-4B75-B6B6-C803AF38E09F&lt;/uuid&gt;&lt;type&gt;400&lt;/type&gt;&lt;number&gt;1&lt;/number&gt;&lt;doi&gt;10.1038/clpt.2011.83&lt;/doi&gt;&lt;startpage&gt;133&lt;/startpage&gt;&lt;endpage&gt;142&lt;/endpage&gt;&lt;bundle&gt;&lt;publication&gt;&lt;title&gt;Clinical pharmacology and therapeutics&lt;/title&gt;&lt;uuid&gt;A62F58F5-61C1-4A94-84F5-89B80F269501&lt;/uuid&gt;&lt;subtype&gt;-100&lt;/subtype&gt;&lt;publisher&gt;NIH Public Access&lt;/publisher&gt;&lt;type&gt;-100&lt;/type&gt;&lt;/publication&gt;&lt;/bundle&gt;&lt;authors&gt;&lt;author&gt;&lt;lastName&gt;Tatonetti&lt;/lastName&gt;&lt;firstName&gt;N&lt;/firstName&gt;&lt;middleNames&gt;P&lt;/middleNames&gt;&lt;/author&gt;&lt;author&gt;&lt;lastName&gt;Denny&lt;/lastName&gt;&lt;firstName&gt;J&lt;/firstName&gt;&lt;middleNames&gt;C&lt;/middleNames&gt;&lt;/author&gt;&lt;author&gt;&lt;lastName&gt;Murphy&lt;/lastName&gt;&lt;firstName&gt;S&lt;/firstName&gt;&lt;middleNames&gt;N&lt;/middleNames&gt;&lt;/author&gt;&lt;author&gt;&lt;lastName&gt;Fernald&lt;/lastName&gt;&lt;firstName&gt;G&lt;/firstName&gt;&lt;middleNames&gt;H&lt;/middleNames&gt;&lt;/author&gt;&lt;author&gt;&lt;lastName&gt;Krishnan&lt;/lastName&gt;&lt;firstName&gt;G&lt;/firstName&gt;&lt;/author&gt;&lt;author&gt;&lt;lastName&gt;Castro&lt;/lastName&gt;&lt;firstName&gt;V&lt;/firstName&gt;&lt;/author&gt;&lt;author&gt;&lt;lastName&gt;Yue&lt;/lastName&gt;&lt;firstName&gt;P&lt;/firstName&gt;&lt;/author&gt;&lt;author&gt;&lt;lastName&gt;Tsau&lt;/lastName&gt;&lt;firstName&gt;P&lt;/firstName&gt;&lt;middleNames&gt;S&lt;/middleNames&gt;&lt;/author&gt;&lt;author&gt;&lt;lastName&gt;Kohane&lt;/lastName&gt;&lt;firstName&gt;I&lt;/firstName&gt;&lt;/author&gt;&lt;author&gt;&lt;lastName&gt;Roden&lt;/lastName&gt;&lt;firstName&gt;D&lt;/firstName&gt;&lt;middleNames&gt;M&lt;/middleNames&gt;&lt;/author&gt;&lt;author&gt;&lt;lastName&gt;Altman&lt;/lastName&gt;&lt;firstName&gt;R&lt;/firstName&gt;&lt;middleNames&gt;B&lt;/middleNames&gt;&lt;/author&gt;&lt;/authors&gt;&lt;/publication&gt;&lt;publication&gt;&lt;subtype&gt;400&lt;/subtype&gt;&lt;title&gt;A novel signal detection algorithm for identifying hidden drug-drug interactions in adverse event reports.&lt;/title&gt;&lt;url&gt;https://academic.oup.com/jamia/article-lookup/doi/10.1136/amiajnl-2011-000214&lt;/url&gt;&lt;volume&gt;19&lt;/volume&gt;&lt;publication_date&gt;99201201001200000000220000&lt;/publication_date&gt;&lt;uuid&gt;8A691103-3FD4-4126-A3D8-BB747779A2D4&lt;/uuid&gt;&lt;type&gt;400&lt;/type&gt;&lt;number&gt;1&lt;/number&gt;&lt;doi&gt;10.1136/amiajnl-2011-000214&lt;/doi&gt;&lt;institution&gt;Biomedical Informatics Training Program, Stanford University, Stanford, California, USA.&lt;/institution&gt;&lt;startpage&gt;79&lt;/startpage&gt;&lt;endpage&gt;85&lt;/endpage&gt;&lt;bundle&gt;&lt;publication&gt;&lt;title&gt;Journal of the American Medical Informatics Association : JAMIA&lt;/title&gt;&lt;uuid&gt;A137B48D-3BCC-46B2-B343-05E91B41D39B&lt;/uuid&gt;&lt;subtype&gt;-100&lt;/subtype&gt;&lt;type&gt;-100&lt;/type&gt;&lt;/publication&gt;&lt;/bundle&gt;&lt;authors&gt;&lt;author&gt;&lt;lastName&gt;Tatonetti&lt;/lastName&gt;&lt;firstName&gt;Nicholas&lt;/firstName&gt;&lt;middleNames&gt;P&lt;/middleNames&gt;&lt;/author&gt;&lt;author&gt;&lt;lastName&gt;Fernald&lt;/lastName&gt;&lt;firstName&gt;Guy&lt;/firstName&gt;&lt;middleNames&gt;Haskin&lt;/middleNames&gt;&lt;/author&gt;&lt;author&gt;&lt;lastName&gt;Altman&lt;/lastName&gt;&lt;firstName&gt;Russ&lt;/firstName&gt;&lt;middleNames&gt;B&lt;/middleNames&gt;&lt;/author&gt;&lt;/authors&gt;&lt;/publication&gt;&lt;/publications&gt;&lt;cites&gt;&lt;/cites&gt;&lt;/citation&gt;</w:instrText>
      </w:r>
      <w:r w:rsidRPr="000728BE">
        <w:fldChar w:fldCharType="separate"/>
      </w:r>
      <w:r w:rsidRPr="000728BE">
        <w:t>(</w:t>
      </w:r>
      <w:r w:rsidRPr="000728BE">
        <w:rPr>
          <w:i/>
          <w:iCs/>
        </w:rPr>
        <w:t>15</w:t>
      </w:r>
      <w:r w:rsidRPr="000728BE">
        <w:t xml:space="preserve">, </w:t>
      </w:r>
      <w:r w:rsidRPr="000728BE">
        <w:rPr>
          <w:i/>
          <w:iCs/>
        </w:rPr>
        <w:t>16</w:t>
      </w:r>
      <w:r w:rsidRPr="000728BE">
        <w:t>)</w:t>
      </w:r>
      <w:r w:rsidRPr="000728BE">
        <w:fldChar w:fldCharType="end"/>
      </w:r>
      <w:r w:rsidRPr="000728BE">
        <w:t xml:space="preserve">. Predicted DDIs in TWOSIDES indicated combinations prescribed in the real world. For reference, TWOSIDES contained 42,920,391 drug-drug-ADR sets reported for 211,990 unique drug-drug pairs. Of note, TWOSIDES contained DDIs for 12,726 unique ADRs and included many more and milder side effects than our analysis (e.g., </w:t>
      </w:r>
      <w:r w:rsidR="00AB75B7" w:rsidRPr="000728BE">
        <w:t>diarrhea</w:t>
      </w:r>
      <w:r w:rsidRPr="000728BE">
        <w:t>, headache). We next counted our total drug-drug predictions and drug-drug-ADR triplets tracking both ARPs and SPs (</w:t>
      </w:r>
      <w:r w:rsidRPr="000728BE">
        <w:rPr>
          <w:b/>
          <w:bCs/>
        </w:rPr>
        <w:t>Table 1</w:t>
      </w:r>
      <w:r w:rsidRPr="000728BE">
        <w:t>). We first filtered our predictions by drug-drug combinations documented in TWOSIDES</w:t>
      </w:r>
      <w:r w:rsidR="00921181">
        <w:t>,</w:t>
      </w:r>
      <w:r w:rsidRPr="000728BE">
        <w:t xml:space="preserve"> reasoning that if a drug combination was reported in TWOSIDES, the combination was likely prescribed in the real world. To estimate the sensitivity of our method, we counted predicted drug-drug-ADR triplets documented in TWOSIDES (</w:t>
      </w:r>
      <w:r w:rsidRPr="000728BE">
        <w:rPr>
          <w:b/>
          <w:bCs/>
        </w:rPr>
        <w:t>Table 1</w:t>
      </w:r>
      <w:r w:rsidRPr="000728BE">
        <w:t xml:space="preserve">). From these results, using ARPs </w:t>
      </w:r>
      <w:r w:rsidR="00921181">
        <w:t xml:space="preserve">relative to SPs </w:t>
      </w:r>
      <w:r w:rsidRPr="000728BE">
        <w:t>generated a higher sensitivity for detecting DDIs (80.7% vs 50.2%).</w:t>
      </w:r>
    </w:p>
    <w:p w14:paraId="08B35614" w14:textId="7BCE624D" w:rsidR="000728BE" w:rsidRPr="000728BE" w:rsidRDefault="000728BE" w:rsidP="000D3216">
      <w:pPr>
        <w:pStyle w:val="Paragraph"/>
        <w:spacing w:line="480" w:lineRule="auto"/>
        <w:ind w:firstLine="0"/>
        <w:rPr>
          <w:b/>
          <w:bCs/>
        </w:rPr>
      </w:pPr>
      <w:r w:rsidRPr="000728BE">
        <w:t>Our PathFX analysis identified non-directional associations and motivated us to pursue complementary data sources. For instance, our network analysis discovered an association between the drug paroxetine that had sepsis on its label, a non-sepsis-labeled drug, albuterol, and the ADR, sepsis, but our analysis didn’t indicate whether co</w:t>
      </w:r>
      <w:r w:rsidR="009A71F8">
        <w:t>-</w:t>
      </w:r>
      <w:r w:rsidRPr="000728BE">
        <w:t xml:space="preserve">administering albuterol with paroxetine would reduce or worsen sepsis. We used the literature to infer the directionality of drug effects. Specifically, we used sentences to identify if a combination drug would worsen or mitigate the drug-induced ADR. We searched for combo-drug-ADR relationships within </w:t>
      </w:r>
      <w:r w:rsidR="009A71F8" w:rsidRPr="000728BE">
        <w:t>PubMed</w:t>
      </w:r>
      <w:r w:rsidRPr="000728BE">
        <w:t xml:space="preserve"> abstracts using natural language processing. Using emerging results from the literature was important because it did not replicate data used in the network analysis. We manually </w:t>
      </w:r>
      <w:r w:rsidRPr="000728BE">
        <w:lastRenderedPageBreak/>
        <w:t xml:space="preserve">curated sentences containing mention of combo drugs and ADRs to understand how the combo drug may affect the ADR. For instance, the beta-2 agonist albuterol, binds the ADRB2 protein, which is downstream in the interaction network of three drugs that are associated with sepsis on their drug labels (paroxetine, atropine, and cocaine). Albuterol is not associated with sepsis on its drug label, yet in our search of published abstracts, we discovered that albuterol is associated with sepsis in a rat model. Specifically, we discovered and manually validated the following sentence to support further consideration of these combinations study: </w:t>
      </w:r>
      <w:r w:rsidRPr="000728BE">
        <w:rPr>
          <w:i/>
          <w:iCs/>
        </w:rPr>
        <w:t>“This study showed for the first time that oral administration of albuterol exerted protective effects on CLP-induced sepsis and related lung injury in rats”</w:t>
      </w:r>
      <w:r w:rsidRPr="000728BE">
        <w:t xml:space="preserve"> </w:t>
      </w:r>
      <w:r w:rsidRPr="000728BE">
        <w:fldChar w:fldCharType="begin"/>
      </w:r>
      <w:r w:rsidRPr="000728BE">
        <w:instrText xml:space="preserve"> ADDIN PAPERS2_CITATIONS &lt;citation&gt;&lt;priority&gt;7&lt;/priority&gt;&lt;uuid&gt;9FB10709-2C37-4AAC-B9DC-1F907F76300B&lt;/uuid&gt;&lt;publications&gt;&lt;publication&gt;&lt;subtype&gt;400&lt;/subtype&gt;&lt;title&gt;Comparative study on effects of nebulized and oral salbutamol on a cecal ligation and puncture-induced sepsis model in rats.&lt;/title&gt;&lt;url&gt;http://www.thieme-connect.de/DOI/DOI?10.1055/s-0034-1375683&lt;/url&gt;&lt;volume&gt;65&lt;/volume&gt;&lt;publication_date&gt;99201504001200000000220000&lt;/publication_date&gt;&lt;uuid&gt;5BE50D1D-5B0D-40CA-9CB7-43837726EE62&lt;/uuid&gt;&lt;type&gt;400&lt;/type&gt;&lt;number&gt;4&lt;/number&gt;&lt;doi&gt;10.1055/s-0034-1375683&lt;/doi&gt;&lt;institution&gt;Department of General Surgery, Faculty of Medicine, Ataturk University, Erzurum, Turkey.&lt;/institution&gt;&lt;startpage&gt;192&lt;/startpage&gt;&lt;endpage&gt;198&lt;/endpage&gt;&lt;bundle&gt;&lt;publication&gt;&lt;title&gt;Drug research&lt;/title&gt;&lt;uuid&gt;DBCB3459-5A13-4CE1-AB2B-3775447DEA22&lt;/uuid&gt;&lt;subtype&gt;-100&lt;/subtype&gt;&lt;type&gt;-100&lt;/type&gt;&lt;/publication&gt;&lt;/bundle&gt;&lt;authors&gt;&lt;author&gt;&lt;lastName&gt;Ozogul&lt;/lastName&gt;&lt;firstName&gt;B&lt;/firstName&gt;&lt;/author&gt;&lt;author&gt;&lt;lastName&gt;Halici&lt;/lastName&gt;&lt;firstName&gt;Z&lt;/firstName&gt;&lt;/author&gt;&lt;author&gt;&lt;lastName&gt;Cadirci&lt;/lastName&gt;&lt;firstName&gt;E&lt;/firstName&gt;&lt;/author&gt;&lt;author&gt;&lt;lastName&gt;Karagoz&lt;/lastName&gt;&lt;firstName&gt;E&lt;/firstName&gt;&lt;/author&gt;&lt;author&gt;&lt;lastName&gt;Bayraktutan&lt;/lastName&gt;&lt;firstName&gt;Z&lt;/firstName&gt;&lt;/author&gt;&lt;author&gt;&lt;lastName&gt;Yayla&lt;/lastName&gt;&lt;firstName&gt;M&lt;/firstName&gt;&lt;/author&gt;&lt;author&gt;&lt;lastName&gt;Akpinar&lt;/lastName&gt;&lt;firstName&gt;E&lt;/firstName&gt;&lt;/author&gt;&lt;author&gt;&lt;lastName&gt;Atamanalp&lt;/lastName&gt;&lt;firstName&gt;S&lt;/firstName&gt;&lt;middleNames&gt;S&lt;/middleNames&gt;&lt;/author&gt;&lt;author&gt;&lt;lastName&gt;Unal&lt;/lastName&gt;&lt;firstName&gt;D&lt;/firstName&gt;&lt;/author&gt;&lt;author&gt;&lt;lastName&gt;Karamese&lt;/lastName&gt;&lt;firstName&gt;M&lt;/firstName&gt;&lt;/author&gt;&lt;/authors&gt;&lt;/publication&gt;&lt;/publications&gt;&lt;cites&gt;&lt;/cites&gt;&lt;/citation&gt;</w:instrText>
      </w:r>
      <w:r w:rsidRPr="000728BE">
        <w:fldChar w:fldCharType="separate"/>
      </w:r>
      <w:r w:rsidRPr="000728BE">
        <w:t>(</w:t>
      </w:r>
      <w:r w:rsidRPr="000728BE">
        <w:rPr>
          <w:i/>
          <w:iCs/>
        </w:rPr>
        <w:t>17</w:t>
      </w:r>
      <w:r w:rsidRPr="000728BE">
        <w:t>)</w:t>
      </w:r>
      <w:r w:rsidRPr="000728BE">
        <w:fldChar w:fldCharType="end"/>
      </w:r>
      <w:r w:rsidRPr="000728BE">
        <w:t xml:space="preserve">. The full list of predicted drug-drug-ADR combinations, their relevant network proteins, and manually curated literature evidence are provided in </w:t>
      </w:r>
      <w:r w:rsidRPr="000728BE">
        <w:rPr>
          <w:b/>
          <w:bCs/>
        </w:rPr>
        <w:t xml:space="preserve">Sup. Files 4 </w:t>
      </w:r>
      <w:r w:rsidRPr="000728BE">
        <w:t>(predictions for SPs)</w:t>
      </w:r>
      <w:r w:rsidRPr="000728BE">
        <w:rPr>
          <w:b/>
          <w:bCs/>
        </w:rPr>
        <w:t xml:space="preserve"> </w:t>
      </w:r>
      <w:r w:rsidRPr="000728BE">
        <w:t>and</w:t>
      </w:r>
      <w:r w:rsidRPr="000728BE">
        <w:rPr>
          <w:b/>
          <w:bCs/>
        </w:rPr>
        <w:t xml:space="preserve"> 5 </w:t>
      </w:r>
      <w:r w:rsidRPr="000728BE">
        <w:t>(predictions for ARPs)</w:t>
      </w:r>
      <w:r w:rsidRPr="000728BE">
        <w:rPr>
          <w:b/>
          <w:bCs/>
        </w:rPr>
        <w:t>.</w:t>
      </w:r>
    </w:p>
    <w:p w14:paraId="62F9EB92" w14:textId="7D049CF7" w:rsidR="000728BE" w:rsidRPr="000728BE" w:rsidRDefault="000728BE" w:rsidP="000D3216">
      <w:pPr>
        <w:pStyle w:val="Paragraph"/>
        <w:spacing w:line="480" w:lineRule="auto"/>
        <w:ind w:firstLine="0"/>
      </w:pPr>
      <w:r w:rsidRPr="000728BE">
        <w:t xml:space="preserve">We further investigated predicted drug-drug-ADR combinations with clinical data using published databases and novel observational studies. To consider feasibility of detecting drug combination effects in patient data, we again referenced TWOSIDES </w:t>
      </w:r>
      <w:r w:rsidRPr="000728BE">
        <w:fldChar w:fldCharType="begin"/>
      </w:r>
      <w:r w:rsidRPr="000728BE">
        <w:instrText xml:space="preserve"> ADDIN PAPERS2_CITATIONS &lt;citation&gt;&lt;priority&gt;8&lt;/priority&gt;&lt;uuid&gt;E20C2601-ABE0-4E24-B01C-98C172FEEA98&lt;/uuid&gt;&lt;publications&gt;&lt;publication&gt;&lt;subtype&gt;400&lt;/subtype&gt;&lt;publisher&gt;American Association for the Advancement of Science&lt;/publisher&gt;&lt;title&gt;Data-driven prediction of drug effects and interactions.&lt;/title&gt;&lt;url&gt;http://stm.sciencemag.org/cgi/doi/10.1126/scitranslmed.3003377&lt;/url&gt;&lt;volume&gt;4&lt;/volume&gt;&lt;publication_date&gt;99201203141200000000222000&lt;/publication_date&gt;&lt;uuid&gt;8CE9453A-83E3-4095-8870-40D21C1828FC&lt;/uuid&gt;&lt;type&gt;400&lt;/type&gt;&lt;number&gt;125&lt;/number&gt;&lt;doi&gt;10.1126/scitranslmed.3003377&lt;/doi&gt;&lt;institution&gt;Biomedical Informatics Training Program, Stanford University, Stanford, CA 94305, USA.&lt;/institution&gt;&lt;startpage&gt;125ra31&lt;/startpage&gt;&lt;endpage&gt;125ra31&lt;/endpage&gt;&lt;bundle&gt;&lt;publication&gt;&lt;title&gt;Science translational medicine&lt;/title&gt;&lt;uuid&gt;975E568A-25A3-47B7-9363-C9CDBB169D35&lt;/uuid&gt;&lt;subtype&gt;-100&lt;/subtype&gt;&lt;publisher&gt;American Association for the Advancement of Science&lt;/publisher&gt;&lt;type&gt;-100&lt;/type&gt;&lt;/publication&gt;&lt;/bundle&gt;&lt;authors&gt;&lt;author&gt;&lt;lastName&gt;Tatonetti&lt;/lastName&gt;&lt;firstName&gt;Nicholas&lt;/firstName&gt;&lt;middleNames&gt;P&lt;/middleNames&gt;&lt;/author&gt;&lt;author&gt;&lt;lastName&gt;Ye&lt;/lastName&gt;&lt;firstName&gt;Patrick&lt;/firstName&gt;&lt;middleNames&gt;P&lt;/middleNames&gt;&lt;/author&gt;&lt;author&gt;&lt;lastName&gt;Daneshjou&lt;/lastName&gt;&lt;firstName&gt;Roxana&lt;/firstName&gt;&lt;/author&gt;&lt;author&gt;&lt;lastName&gt;Altman&lt;/lastName&gt;&lt;firstName&gt;Russ&lt;/firstName&gt;&lt;middleNames&gt;B&lt;/middleNames&gt;&lt;/author&gt;&lt;/authors&gt;&lt;/publication&gt;&lt;/publications&gt;&lt;cites&gt;&lt;/cites&gt;&lt;/citation&gt;</w:instrText>
      </w:r>
      <w:r w:rsidRPr="000728BE">
        <w:fldChar w:fldCharType="separate"/>
      </w:r>
      <w:r w:rsidRPr="000728BE">
        <w:t>(</w:t>
      </w:r>
      <w:r w:rsidRPr="000728BE">
        <w:rPr>
          <w:i/>
          <w:iCs/>
        </w:rPr>
        <w:t>18</w:t>
      </w:r>
      <w:r w:rsidRPr="000728BE">
        <w:t>)</w:t>
      </w:r>
      <w:r w:rsidRPr="000728BE">
        <w:fldChar w:fldCharType="end"/>
      </w:r>
      <w:r w:rsidRPr="000728BE">
        <w:t>, and investigated the proportional reporting ratios (PRRs) reported for the 368 combinations discovered using ARPs. PRRs were a sufficient proxy for ADR severity of predicted DDIs. Indeed, predicted combination effects were discovered in TWOSIDES (</w:t>
      </w:r>
      <w:r w:rsidRPr="000728BE">
        <w:rPr>
          <w:b/>
          <w:bCs/>
        </w:rPr>
        <w:t>Table 2</w:t>
      </w:r>
      <w:r w:rsidRPr="000728BE">
        <w:t xml:space="preserve">, full results in </w:t>
      </w:r>
      <w:r w:rsidRPr="000728BE">
        <w:rPr>
          <w:b/>
          <w:bCs/>
        </w:rPr>
        <w:t>Sup. File 4</w:t>
      </w:r>
      <w:r w:rsidRPr="000728BE">
        <w:t xml:space="preserve">). Further, because PathFX networks do not contain directional pathway information, measuring a drug-combination effect in TWOSIDES suggested that drug combinations may increase risk for ADRs in the real world. </w:t>
      </w:r>
    </w:p>
    <w:p w14:paraId="28CF239F" w14:textId="22C31307" w:rsidR="000728BE" w:rsidRPr="000728BE" w:rsidRDefault="000728BE" w:rsidP="000D3216">
      <w:pPr>
        <w:pStyle w:val="Paragraph"/>
        <w:spacing w:line="480" w:lineRule="auto"/>
        <w:ind w:firstLine="0"/>
      </w:pPr>
      <w:r w:rsidRPr="000728BE">
        <w:t xml:space="preserve">We also pursued multiple novel observational studies to test our hypotheses and used two approaches to conduct this analysis. For these analyses, we used the deidentified Optum </w:t>
      </w:r>
      <w:proofErr w:type="spellStart"/>
      <w:r w:rsidRPr="000728BE">
        <w:t>Clinformatics</w:t>
      </w:r>
      <w:proofErr w:type="spellEnd"/>
      <w:r w:rsidRPr="000728BE">
        <w:t xml:space="preserve"> dataset v7 that included over 88 million US patients, both </w:t>
      </w:r>
      <w:r w:rsidR="00D821A2" w:rsidRPr="000728BE">
        <w:t>privately insured</w:t>
      </w:r>
      <w:r w:rsidRPr="000728BE">
        <w:t xml:space="preserve"> and </w:t>
      </w:r>
      <w:r w:rsidRPr="000728BE">
        <w:lastRenderedPageBreak/>
        <w:t xml:space="preserve">Medicare beneficiaries, largely under the age of 65. We accessed a version of the Optum dataset standardized to the </w:t>
      </w:r>
      <w:r w:rsidR="00DF668A">
        <w:t>O</w:t>
      </w:r>
      <w:r w:rsidRPr="000728BE">
        <w:t xml:space="preserve">bservational </w:t>
      </w:r>
      <w:r w:rsidR="00DF668A">
        <w:t>M</w:t>
      </w:r>
      <w:r w:rsidRPr="000728BE">
        <w:t xml:space="preserve">edical </w:t>
      </w:r>
      <w:r w:rsidR="00DF668A">
        <w:t>O</w:t>
      </w:r>
      <w:r w:rsidRPr="000728BE">
        <w:t xml:space="preserve">utcomes </w:t>
      </w:r>
      <w:r w:rsidR="00DF668A">
        <w:t>P</w:t>
      </w:r>
      <w:r w:rsidRPr="000728BE">
        <w:t>artnership (OMOP) common data model (CDM); standardized data models have decreased heterogeneity between datasets and improved consistency in underlying data</w:t>
      </w:r>
      <w:r w:rsidRPr="000728BE">
        <w:fldChar w:fldCharType="begin"/>
      </w:r>
      <w:r w:rsidRPr="000728BE">
        <w:instrText xml:space="preserve"> ADDIN PAPERS2_CITATIONS &lt;citation&gt;&lt;priority&gt;14&lt;/priority&gt;&lt;uuid&gt;040C10A6-3BDA-435B-9EE6-5A3695B198A9&lt;/uuid&gt;&lt;publications&gt;&lt;publication&gt;&lt;subtype&gt;400&lt;/subtype&gt;&lt;publisher&gt;BioMed Central&lt;/publisher&gt;&lt;title&gt;The impact of standardizing the definition of visits on the consistency of multi-database observational health research.&lt;/title&gt;&lt;url&gt;https://bmcmedresmethodol.biomedcentral.com/articles/10.1186/s12874-015-0001-6&lt;/url&gt;&lt;volume&gt;15&lt;/volume&gt;&lt;publication_date&gt;99201503081200000000222000&lt;/publication_date&gt;&lt;uuid&gt;B8F266D0-CB61-44BE-91C6-F00CA96BDD66&lt;/uuid&gt;&lt;type&gt;400&lt;/type&gt;&lt;accepted_date&gt;99201501261200000000222000&lt;/accepted_date&gt;&lt;number&gt;1&lt;/number&gt;&lt;submission_date&gt;99201408081200000000222000&lt;/submission_date&gt;&lt;doi&gt;10.1186/s12874-015-0001-6&lt;/doi&gt;&lt;institution&gt;Janssen Research &amp;amp; Development, 920 Route 202, Raritan, NJ, 08869, USA. evoss3@its.jnj.com.&lt;/institution&gt;&lt;startpage&gt;13&lt;/startpage&gt;&lt;endpage&gt;10&lt;/endpage&gt;&lt;bundle&gt;&lt;publication&gt;&lt;title&gt;BMC medical research methodology&lt;/title&gt;&lt;uuid&gt;753C54E4-3616-4F75-BAE0-51791243EFEC&lt;/uuid&gt;&lt;subtype&gt;-100&lt;/subtype&gt;&lt;type&gt;-100&lt;/type&gt;&lt;/publication&gt;&lt;/bundle&gt;&lt;authors&gt;&lt;author&gt;&lt;lastName&gt;Voss&lt;/lastName&gt;&lt;firstName&gt;Erica&lt;/firstName&gt;&lt;middleNames&gt;A&lt;/middleNames&gt;&lt;/author&gt;&lt;author&gt;&lt;lastName&gt;Ma&lt;/lastName&gt;&lt;firstName&gt;Qianli&lt;/firstName&gt;&lt;/author&gt;&lt;author&gt;&lt;lastName&gt;Ryan&lt;/lastName&gt;&lt;firstName&gt;Patrick&lt;/firstName&gt;&lt;middleNames&gt;B&lt;/middleNames&gt;&lt;/author&gt;&lt;/authors&gt;&lt;/publication&gt;&lt;/publications&gt;&lt;cites&gt;&lt;/cites&gt;&lt;/citation&gt;</w:instrText>
      </w:r>
      <w:r w:rsidRPr="000728BE">
        <w:fldChar w:fldCharType="separate"/>
      </w:r>
      <w:r w:rsidRPr="000728BE">
        <w:t>(</w:t>
      </w:r>
      <w:r w:rsidRPr="000728BE">
        <w:rPr>
          <w:i/>
          <w:iCs/>
        </w:rPr>
        <w:t>19</w:t>
      </w:r>
      <w:r w:rsidRPr="000728BE">
        <w:t>)</w:t>
      </w:r>
      <w:r w:rsidRPr="000728BE">
        <w:fldChar w:fldCharType="end"/>
      </w:r>
      <w:r w:rsidRPr="000728BE">
        <w:t xml:space="preserve">. We leveraged the Observational Health Data Sciences and Informatics (OHDSI) network tools, specifically CohortMethod to measure ADR outcomes for patients exposed to our predicted combinations. CohortMethod is a software package that facilitates extracting patient data from the EHR, conducting large-scale propensity matching for controlling confounding variables, and estimating outcome models, such as </w:t>
      </w:r>
      <w:r w:rsidR="001C5C57">
        <w:t>C</w:t>
      </w:r>
      <w:r w:rsidRPr="000728BE">
        <w:t xml:space="preserve">ox regression (example applications </w:t>
      </w:r>
      <w:r w:rsidRPr="000728BE">
        <w:fldChar w:fldCharType="begin"/>
      </w:r>
      <w:r w:rsidRPr="000728BE">
        <w:instrText xml:space="preserve"> ADDIN PAPERS2_CITATIONS &lt;citation&gt;&lt;priority&gt;15&lt;/priority&gt;&lt;uuid&gt;A4D15047-7702-4257-82F3-2AC812C7451A&lt;/uuid&gt;&lt;publications&gt;&lt;publication&gt;&lt;subtype&gt;400&lt;/subtype&gt;&lt;title&gt;Comprehensive comparative effectiveness and safety of first-line antihypertensive drug classes: a systematic, multinational, large-scale analysis.&lt;/title&gt;&lt;url&gt;https://linkinghub.elsevier.com/retrieve/pii/S0140673619323177&lt;/url&gt;&lt;volume&gt;394&lt;/volume&gt;&lt;revision_date&gt;99201908021200000000222000&lt;/revision_date&gt;&lt;publication_date&gt;99201911161200000000222000&lt;/publication_date&gt;&lt;uuid&gt;0761935D-A9F9-494B-BD42-831F2E6DC195&lt;/uuid&gt;&lt;type&gt;400&lt;/type&gt;&lt;accepted_date&gt;99201908151200000000222000&lt;/accepted_date&gt;&lt;number&gt;10211&lt;/number&gt;&lt;submission_date&gt;99201906211200000000222000&lt;/submission_date&gt;&lt;doi&gt;10.1016/S0140-6736(19)32317-7&lt;/doi&gt;&lt;institution&gt;Department of Biostatistics, Fielding School of Public Health, University of California, Los Angeles, CA, USA; Department of Biomathematics, David Geffen School of Medicine at UCLA, University of California, Los Angeles, CA, USA. Electronic address: msuchard@ucla.edu.&lt;/institution&gt;&lt;startpage&gt;1816&lt;/startpage&gt;&lt;endpage&gt;1826&lt;/endpage&gt;&lt;bundle&gt;&lt;publication&gt;&lt;title&gt;Lancet (London, England)&lt;/title&gt;&lt;uuid&gt;FDDA0F6A-171B-4975-AB7C-D4DA990CD5D6&lt;/uuid&gt;&lt;subtype&gt;-100&lt;/subtype&gt;&lt;type&gt;-100&lt;/type&gt;&lt;/publication&gt;&lt;/bundle&gt;&lt;authors&gt;&lt;author&gt;&lt;lastName&gt;Suchard&lt;/lastName&gt;&lt;firstName&gt;Marc&lt;/firstName&gt;&lt;middleNames&gt;A&lt;/middleNames&gt;&lt;/author&gt;&lt;author&gt;&lt;lastName&gt;Schuemie&lt;/lastName&gt;&lt;firstName&gt;Martijn&lt;/firstName&gt;&lt;middleNames&gt;J&lt;/middleNames&gt;&lt;/author&gt;&lt;author&gt;&lt;lastName&gt;Krumholz&lt;/lastName&gt;&lt;firstName&gt;Harlan&lt;/firstName&gt;&lt;middleNames&gt;M&lt;/middleNames&gt;&lt;/author&gt;&lt;author&gt;&lt;lastName&gt;You&lt;/lastName&gt;&lt;firstName&gt;Seng&lt;/firstName&gt;&lt;middleNames&gt;Chan&lt;/middleNames&gt;&lt;/author&gt;&lt;author&gt;&lt;lastName&gt;Chen&lt;/lastName&gt;&lt;firstName&gt;RuiJun&lt;/firstName&gt;&lt;/author&gt;&lt;author&gt;&lt;lastName&gt;Pratt&lt;/lastName&gt;&lt;firstName&gt;Nicole&lt;/firstName&gt;&lt;/author&gt;&lt;author&gt;&lt;lastName&gt;Reich&lt;/lastName&gt;&lt;firstName&gt;Christian&lt;/firstName&gt;&lt;middleNames&gt;G&lt;/middleNames&gt;&lt;/author&gt;&lt;author&gt;&lt;lastName&gt;Duke&lt;/lastName&gt;&lt;firstName&gt;Jon&lt;/firstName&gt;&lt;/author&gt;&lt;author&gt;&lt;lastName&gt;Madigan&lt;/lastName&gt;&lt;firstName&gt;David&lt;/firstName&gt;&lt;/author&gt;&lt;author&gt;&lt;lastName&gt;Hripcsak&lt;/lastName&gt;&lt;firstName&gt;George&lt;/firstName&gt;&lt;/author&gt;&lt;author&gt;&lt;lastName&gt;Ryan&lt;/lastName&gt;&lt;firstName&gt;Patrick&lt;/firstName&gt;&lt;middleNames&gt;B&lt;/middleNames&gt;&lt;/author&gt;&lt;/authors&gt;&lt;/publication&gt;&lt;/publications&gt;&lt;cites&gt;&lt;/cites&gt;&lt;/citation&gt;</w:instrText>
      </w:r>
      <w:r w:rsidRPr="000728BE">
        <w:fldChar w:fldCharType="separate"/>
      </w:r>
      <w:r w:rsidRPr="000728BE">
        <w:t>(</w:t>
      </w:r>
      <w:r w:rsidRPr="000728BE">
        <w:rPr>
          <w:i/>
          <w:iCs/>
        </w:rPr>
        <w:t>20</w:t>
      </w:r>
      <w:r w:rsidRPr="000728BE">
        <w:t>)</w:t>
      </w:r>
      <w:r w:rsidRPr="000728BE">
        <w:fldChar w:fldCharType="end"/>
      </w:r>
      <w:r w:rsidRPr="000728BE">
        <w:t xml:space="preserve"> </w:t>
      </w:r>
      <w:r w:rsidRPr="000728BE">
        <w:fldChar w:fldCharType="begin"/>
      </w:r>
      <w:r w:rsidRPr="000728BE">
        <w:instrText xml:space="preserve"> ADDIN PAPERS2_CITATIONS &lt;citation&gt;&lt;priority&gt;16&lt;/priority&gt;&lt;uuid&gt;D83A7141-2E94-457B-A7F6-E0C64D9DFA0F&lt;/uuid&gt;&lt;publications&gt;&lt;publication&gt;&lt;subtype&gt;400&lt;/subtype&gt;&lt;publisher&gt;American Medical Association&lt;/publisher&gt;&lt;title&gt;Comparison of Cardiovascular and Safety Outcomes of Chlorthalidone vs Hydrochlorothiazide to Treat Hypertension&lt;/title&gt;&lt;url&gt;https://jamanetwork.com/journals/jamainternalmedicine/fullarticle/2760777&lt;/url&gt;&lt;volume&gt;180&lt;/volume&gt;&lt;publication_date&gt;99202004011200000000222000&lt;/publication_date&gt;&lt;uuid&gt;D3FADC01-DE21-499C-AD01-2081244E5A5E&lt;/uuid&gt;&lt;type&gt;400&lt;/type&gt;&lt;number&gt;4&lt;/number&gt;&lt;doi&gt;10.1001/jamainternmed.2019.7454&lt;/doi&gt;&lt;startpage&gt;542&lt;/startpage&gt;&lt;endpage&gt;551&lt;/endpage&gt;&lt;bundle&gt;&lt;publication&gt;&lt;title&gt;JAMA Internal Medicine&lt;/title&gt;&lt;uuid&gt;6A3BF58F-8B86-4E8E-8AE8-3ADF13FE12FC&lt;/uuid&gt;&lt;subtype&gt;-100&lt;/subtype&gt;&lt;publisher&gt;American Medical Association&lt;/publisher&gt;&lt;type&gt;-100&lt;/type&gt;&lt;/publication&gt;&lt;/bundle&gt;&lt;authors&gt;&lt;author&gt;&lt;lastName&gt;Hripcsak&lt;/lastName&gt;&lt;firstName&gt;George&lt;/firstName&gt;&lt;/author&gt;&lt;author&gt;&lt;lastName&gt;Suchard&lt;/lastName&gt;&lt;firstName&gt;Marc&lt;/firstName&gt;&lt;middleNames&gt;A&lt;/middleNames&gt;&lt;/author&gt;&lt;author&gt;&lt;lastName&gt;Shea&lt;/lastName&gt;&lt;firstName&gt;Steven&lt;/firstName&gt;&lt;/author&gt;&lt;author&gt;&lt;lastName&gt;Chen&lt;/lastName&gt;&lt;firstName&gt;RuiJun&lt;/firstName&gt;&lt;/author&gt;&lt;author&gt;&lt;lastName&gt;You&lt;/lastName&gt;&lt;firstName&gt;Seng&lt;/firstName&gt;&lt;middleNames&gt;Chan&lt;/middleNames&gt;&lt;/author&gt;&lt;author&gt;&lt;lastName&gt;Pratt&lt;/lastName&gt;&lt;firstName&gt;Nicole&lt;/firstName&gt;&lt;/author&gt;&lt;author&gt;&lt;lastName&gt;Madigan&lt;/lastName&gt;&lt;firstName&gt;David&lt;/firstName&gt;&lt;/author&gt;&lt;author&gt;&lt;lastName&gt;Krumholz&lt;/lastName&gt;&lt;firstName&gt;Harlan&lt;/firstName&gt;&lt;middleNames&gt;M&lt;/middleNames&gt;&lt;/author&gt;&lt;author&gt;&lt;lastName&gt;Ryan&lt;/lastName&gt;&lt;firstName&gt;Patrick&lt;/firstName&gt;&lt;middleNames&gt;B&lt;/middleNames&gt;&lt;/author&gt;&lt;author&gt;&lt;lastName&gt;Schuemie&lt;/lastName&gt;&lt;firstName&gt;Martijn&lt;/firstName&gt;&lt;middleNames&gt;J&lt;/middleNames&gt;&lt;/author&gt;&lt;/authors&gt;&lt;/publication&gt;&lt;/publications&gt;&lt;cites&gt;&lt;/cites&gt;&lt;/citation&gt;</w:instrText>
      </w:r>
      <w:r w:rsidRPr="000728BE">
        <w:fldChar w:fldCharType="separate"/>
      </w:r>
      <w:r w:rsidRPr="000728BE">
        <w:t>(</w:t>
      </w:r>
      <w:r w:rsidRPr="000728BE">
        <w:rPr>
          <w:i/>
          <w:iCs/>
        </w:rPr>
        <w:t>21</w:t>
      </w:r>
      <w:r w:rsidRPr="000728BE">
        <w:t>)</w:t>
      </w:r>
      <w:r w:rsidRPr="000728BE">
        <w:fldChar w:fldCharType="end"/>
      </w:r>
      <w:r w:rsidRPr="000728BE">
        <w:t>). The LEGEND study is one relevant application where CohortMethod measured cardiovascular outcomes across first-line anti-</w:t>
      </w:r>
      <w:r w:rsidR="00825676" w:rsidRPr="000728BE">
        <w:t>hyp</w:t>
      </w:r>
      <w:r w:rsidR="00825676">
        <w:t>er</w:t>
      </w:r>
      <w:r w:rsidR="00825676" w:rsidRPr="000728BE">
        <w:t>tensive</w:t>
      </w:r>
      <w:r w:rsidRPr="000728BE">
        <w:t xml:space="preserve"> drugs</w:t>
      </w:r>
      <w:r w:rsidRPr="000728BE">
        <w:fldChar w:fldCharType="begin"/>
      </w:r>
      <w:r w:rsidRPr="000728BE">
        <w:instrText xml:space="preserve"> ADDIN PAPERS2_CITATIONS &lt;citation&gt;&lt;priority&gt;17&lt;/priority&gt;&lt;uuid&gt;D36D98F1-0710-4AF9-BC95-6F30FE04689A&lt;/uuid&gt;&lt;publications&gt;&lt;publication&gt;&lt;subtype&gt;400&lt;/subtype&gt;&lt;title&gt;Comprehensive comparative effectiveness and safety of first-line antihypertensive drug classes: a systematic, multinational, large-scale analysis.&lt;/title&gt;&lt;url&gt;https://linkinghub.elsevier.com/retrieve/pii/S0140673619323177&lt;/url&gt;&lt;volume&gt;394&lt;/volume&gt;&lt;revision_date&gt;99201908021200000000222000&lt;/revision_date&gt;&lt;publication_date&gt;99201911161200000000222000&lt;/publication_date&gt;&lt;uuid&gt;0761935D-A9F9-494B-BD42-831F2E6DC195&lt;/uuid&gt;&lt;type&gt;400&lt;/type&gt;&lt;accepted_date&gt;99201908151200000000222000&lt;/accepted_date&gt;&lt;number&gt;10211&lt;/number&gt;&lt;submission_date&gt;99201906211200000000222000&lt;/submission_date&gt;&lt;doi&gt;10.1016/S0140-6736(19)32317-7&lt;/doi&gt;&lt;institution&gt;Department of Biostatistics, Fielding School of Public Health, University of California, Los Angeles, CA, USA; Department of Biomathematics, David Geffen School of Medicine at UCLA, University of California, Los Angeles, CA, USA. Electronic address: msuchard@ucla.edu.&lt;/institution&gt;&lt;startpage&gt;1816&lt;/startpage&gt;&lt;endpage&gt;1826&lt;/endpage&gt;&lt;bundle&gt;&lt;publication&gt;&lt;title&gt;Lancet (London, England)&lt;/title&gt;&lt;uuid&gt;FDDA0F6A-171B-4975-AB7C-D4DA990CD5D6&lt;/uuid&gt;&lt;subtype&gt;-100&lt;/subtype&gt;&lt;type&gt;-100&lt;/type&gt;&lt;/publication&gt;&lt;/bundle&gt;&lt;authors&gt;&lt;author&gt;&lt;lastName&gt;Suchard&lt;/lastName&gt;&lt;firstName&gt;Marc&lt;/firstName&gt;&lt;middleNames&gt;A&lt;/middleNames&gt;&lt;/author&gt;&lt;author&gt;&lt;lastName&gt;Schuemie&lt;/lastName&gt;&lt;firstName&gt;Martijn&lt;/firstName&gt;&lt;middleNames&gt;J&lt;/middleNames&gt;&lt;/author&gt;&lt;author&gt;&lt;lastName&gt;Krumholz&lt;/lastName&gt;&lt;firstName&gt;Harlan&lt;/firstName&gt;&lt;middleNames&gt;M&lt;/middleNames&gt;&lt;/author&gt;&lt;author&gt;&lt;lastName&gt;You&lt;/lastName&gt;&lt;firstName&gt;Seng&lt;/firstName&gt;&lt;middleNames&gt;Chan&lt;/middleNames&gt;&lt;/author&gt;&lt;author&gt;&lt;lastName&gt;Chen&lt;/lastName&gt;&lt;firstName&gt;RuiJun&lt;/firstName&gt;&lt;/author&gt;&lt;author&gt;&lt;lastName&gt;Pratt&lt;/lastName&gt;&lt;firstName&gt;Nicole&lt;/firstName&gt;&lt;/author&gt;&lt;author&gt;&lt;lastName&gt;Reich&lt;/lastName&gt;&lt;firstName&gt;Christian&lt;/firstName&gt;&lt;middleNames&gt;G&lt;/middleNames&gt;&lt;/author&gt;&lt;author&gt;&lt;lastName&gt;Duke&lt;/lastName&gt;&lt;firstName&gt;Jon&lt;/firstName&gt;&lt;/author&gt;&lt;author&gt;&lt;lastName&gt;Madigan&lt;/lastName&gt;&lt;firstName&gt;David&lt;/firstName&gt;&lt;/author&gt;&lt;author&gt;&lt;lastName&gt;Hripcsak&lt;/lastName&gt;&lt;firstName&gt;George&lt;/firstName&gt;&lt;/author&gt;&lt;author&gt;&lt;lastName&gt;Ryan&lt;/lastName&gt;&lt;firstName&gt;Patrick&lt;/firstName&gt;&lt;middleNames&gt;B&lt;/middleNames&gt;&lt;/author&gt;&lt;/authors&gt;&lt;/publication&gt;&lt;/publications&gt;&lt;cites&gt;&lt;/cites&gt;&lt;/citation&gt;</w:instrText>
      </w:r>
      <w:r w:rsidRPr="000728BE">
        <w:fldChar w:fldCharType="separate"/>
      </w:r>
      <w:r w:rsidRPr="000728BE">
        <w:t>(</w:t>
      </w:r>
      <w:r w:rsidRPr="000728BE">
        <w:rPr>
          <w:i/>
          <w:iCs/>
        </w:rPr>
        <w:t>20</w:t>
      </w:r>
      <w:r w:rsidRPr="000728BE">
        <w:t>)</w:t>
      </w:r>
      <w:r w:rsidRPr="000728BE">
        <w:fldChar w:fldCharType="end"/>
      </w:r>
      <w:r w:rsidRPr="000728BE">
        <w:t>. Our approach was conceptually similar, however, we aggregated drugs into network classes instead of by their chemical structures or therapeutic use classes. We first</w:t>
      </w:r>
      <w:r w:rsidR="00825676">
        <w:t xml:space="preserve"> </w:t>
      </w:r>
      <w:r w:rsidRPr="000728BE">
        <w:t xml:space="preserve">used CohortMethod to test two network DDI predictions to validate our ability to detect DDIs in the real world. We used a customized pipeline to analyze the 58 network classes that encompassed the 368 drug-drug-ADR triplets documented in TWOSIDES. </w:t>
      </w:r>
    </w:p>
    <w:p w14:paraId="6C29DFD9" w14:textId="170E23E2" w:rsidR="00742CD6" w:rsidRDefault="00742CD6" w:rsidP="000D3216">
      <w:pPr>
        <w:pStyle w:val="Paragraph"/>
        <w:spacing w:line="480" w:lineRule="auto"/>
        <w:ind w:firstLine="0"/>
        <w:rPr>
          <w:b/>
          <w:bCs/>
          <w:iCs/>
        </w:rPr>
      </w:pPr>
      <w:r>
        <w:rPr>
          <w:b/>
          <w:bCs/>
          <w:iCs/>
        </w:rPr>
        <w:t>Altered sepsis outcomes for network-classified drugs in a novel observational study</w:t>
      </w:r>
    </w:p>
    <w:p w14:paraId="4B05E1D4" w14:textId="3764B722" w:rsidR="00742CD6" w:rsidRDefault="00742CD6" w:rsidP="000D3216">
      <w:pPr>
        <w:pStyle w:val="Teaser"/>
        <w:spacing w:line="480" w:lineRule="auto"/>
        <w:rPr>
          <w:rFonts w:eastAsia="Calibri"/>
        </w:rPr>
      </w:pPr>
      <w:r>
        <w:t xml:space="preserve">We first investigated the effect of albuterol on </w:t>
      </w:r>
      <w:r w:rsidRPr="000440A0">
        <w:t>beta-2 adrenergic receptor 2 (ADRB2)</w:t>
      </w:r>
      <w:r>
        <w:rPr>
          <w:b/>
          <w:bCs/>
        </w:rPr>
        <w:t xml:space="preserve"> </w:t>
      </w:r>
      <w:r>
        <w:t>network drugs. PathFX identified network associations for 29 drugs with sepsis listed on the drugs’ labels. From this 29-drug set, two drugs, paroxetine, and atropine, contained ADRB2, an albuterol (also known as salbutamol) drug target, downstream in their networks and did not share other target proteins with albuterol</w:t>
      </w:r>
      <w:r>
        <w:rPr>
          <w:rFonts w:eastAsia="Calibri"/>
        </w:rPr>
        <w:t>. Of the remaining 27 drugs, 18 drugs did not contain albuterol-binding proteins downstream in their networks nor share drug target proteins with albuterol. These 18 drugs were considered the “non-ADRB2-net” class (</w:t>
      </w:r>
      <w:r>
        <w:rPr>
          <w:rFonts w:eastAsia="Calibri"/>
          <w:b/>
          <w:bCs/>
        </w:rPr>
        <w:t>Table S2</w:t>
      </w:r>
      <w:r>
        <w:rPr>
          <w:rFonts w:eastAsia="Calibri"/>
        </w:rPr>
        <w:t xml:space="preserve">). We </w:t>
      </w:r>
      <w:r>
        <w:rPr>
          <w:rFonts w:eastAsia="Calibri"/>
        </w:rPr>
        <w:lastRenderedPageBreak/>
        <w:t>hypothesized that concomitant use of albuterol would alter risk of sepsis for ADBR2-network drugs relative to non-ADBR2-network drugs.</w:t>
      </w:r>
    </w:p>
    <w:p w14:paraId="3BB560F3" w14:textId="0574B560" w:rsidR="00742CD6" w:rsidRDefault="00742CD6" w:rsidP="000D3216">
      <w:pPr>
        <w:pStyle w:val="Teaser"/>
        <w:spacing w:line="480" w:lineRule="auto"/>
        <w:rPr>
          <w:rFonts w:eastAsia="Calibri"/>
        </w:rPr>
      </w:pPr>
      <w:r>
        <w:t>For the first measurement, we measured the risk of sepsis for patients on ADBR2-network (“target” cohort) or non-ADBR2-network (“comparator” cohort) drugs. For the second measurement, we measured the risk of sepsis for patients with an overlapping exposure to albuterol+ADBR2-network drugs (“target” cohort) or albuterol+</w:t>
      </w:r>
      <w:r w:rsidRPr="00386B2C">
        <w:t xml:space="preserve"> </w:t>
      </w:r>
      <w:r>
        <w:t xml:space="preserve">non-ADBR2-network (“comparator” cohort) drugs. To select patients with an overlapping exposure, we required patients have an albuterol “DRUG ERA” that started between the start and end of an exposure to either the ADBR2-network or non-ADBR2-network drugs and risk for sepsis was observed for 30 days following the start of the second drug exposure. The drug era is considered a sufficient proxy to estimate an exposure to an active ingredient and the details of this data table are further explained in </w:t>
      </w:r>
      <w:r>
        <w:rPr>
          <w:i/>
          <w:iCs/>
        </w:rPr>
        <w:t>Materials and Methods.</w:t>
      </w:r>
      <w:r>
        <w:t xml:space="preserve"> We further used large-scale propensity matching to estimate confounding and then matched patients based on their propensity score to estimate risk. Propensity matching aggregates all available patient data in the health record including commonly-considered confounders such age, diagnoses, demographics as well as other data such as number of visits, time to visits, that also reflect patient characteristics </w:t>
      </w:r>
      <w:r>
        <w:rPr>
          <w:rFonts w:eastAsia="Calibri"/>
        </w:rPr>
        <w:fldChar w:fldCharType="begin"/>
      </w:r>
      <w:r>
        <w:rPr>
          <w:rFonts w:eastAsia="Calibri"/>
        </w:rPr>
        <w:instrText xml:space="preserve"> ADDIN PAPERS2_CITATIONS &lt;citation&gt;&lt;priority&gt;18&lt;/priority&gt;&lt;uuid&gt;970E6DEA-ADE9-471E-BFD7-BA8D2F787A8B&lt;/uuid&gt;&lt;publications&gt;&lt;publication&gt;&lt;subtype&gt;400&lt;/subtype&gt;&lt;publisher&gt;American Association for the Advancement of Science&lt;/publisher&gt;&lt;title&gt;Data-driven prediction of drug effects and interactions.&lt;/title&gt;&lt;url&gt;http://stm.sciencemag.org/cgi/doi/10.1126/scitranslmed.3003377&lt;/url&gt;&lt;volume&gt;4&lt;/volume&gt;&lt;publication_date&gt;99201203141200000000222000&lt;/publication_date&gt;&lt;uuid&gt;8CE9453A-83E3-4095-8870-40D21C1828FC&lt;/uuid&gt;&lt;type&gt;400&lt;/type&gt;&lt;number&gt;125&lt;/number&gt;&lt;doi&gt;10.1126/scitranslmed.3003377&lt;/doi&gt;&lt;institution&gt;Biomedical Informatics Training Program, Stanford University, Stanford, CA 94305, USA.&lt;/institution&gt;&lt;startpage&gt;125ra31&lt;/startpage&gt;&lt;endpage&gt;125ra31&lt;/endpage&gt;&lt;bundle&gt;&lt;publication&gt;&lt;title&gt;Science translational medicine&lt;/title&gt;&lt;uuid&gt;975E568A-25A3-47B7-9363-C9CDBB169D35&lt;/uuid&gt;&lt;subtype&gt;-100&lt;/subtype&gt;&lt;publisher&gt;American Association for the Advancement of Science&lt;/publisher&gt;&lt;type&gt;-100&lt;/type&gt;&lt;/publication&gt;&lt;/bundle&gt;&lt;authors&gt;&lt;author&gt;&lt;lastName&gt;Tatonetti&lt;/lastName&gt;&lt;firstName&gt;Nicholas&lt;/firstName&gt;&lt;middleNames&gt;P&lt;/middleNames&gt;&lt;/author&gt;&lt;author&gt;&lt;lastName&gt;Ye&lt;/lastName&gt;&lt;firstName&gt;Patrick&lt;/firstName&gt;&lt;middleNames&gt;P&lt;/middleNames&gt;&lt;/author&gt;&lt;author&gt;&lt;lastName&gt;Daneshjou&lt;/lastName&gt;&lt;firstName&gt;Roxana&lt;/firstName&gt;&lt;/author&gt;&lt;author&gt;&lt;lastName&gt;Altman&lt;/lastName&gt;&lt;firstName&gt;Russ&lt;/firstName&gt;&lt;middleNames&gt;B&lt;/middleNames&gt;&lt;/author&gt;&lt;/authors&gt;&lt;/publication&gt;&lt;publication&gt;&lt;subtype&gt;400&lt;/subtype&gt;&lt;title&gt;Multivariate and Propensity Score Matching Software with Automated Balance Optimization: The Matching Package for R&lt;/title&gt;&lt;url&gt;https://papers.ssrn.com/abstract=1009044&lt;/url&gt;&lt;uuid&gt;7C6C5E54-3F39-4BA5-857B-41E26B97B1BC&lt;/uuid&gt;&lt;type&gt;400&lt;/type&gt;&lt;authors&gt;&lt;author&gt;&lt;lastName&gt;Sekhon&lt;/lastName&gt;&lt;firstName&gt;Jasjeet&lt;/firstName&gt;&lt;middleNames&gt;S&lt;/middleNames&gt;&lt;/author&gt;&lt;/authors&gt;&lt;/publication&gt;&lt;publication&gt;&lt;subtype&gt;400&lt;/subtype&gt;&lt;title&gt;Evaluating large-scale propensity score performance through real-world and synthetic data experiments&lt;/title&gt;&lt;url&gt;https://academic.oup.com/ije/article-abstract/47/6/2005/5043131&lt;/url&gt;&lt;uuid&gt;C962F682-15BE-4383-B076-7A92F896AA05&lt;/uuid&gt;&lt;type&gt;400&lt;/type&gt;&lt;bundle&gt;&lt;publication&gt;&lt;title&gt;academic.oup.com</w:instrText>
      </w:r>
    </w:p>
    <w:p w14:paraId="38552970" w14:textId="77777777" w:rsidR="00742CD6" w:rsidRPr="00F803FD" w:rsidRDefault="00742CD6" w:rsidP="000D3216">
      <w:pPr>
        <w:pStyle w:val="Teaser"/>
        <w:spacing w:line="480" w:lineRule="auto"/>
      </w:pPr>
      <w:r>
        <w:rPr>
          <w:rFonts w:eastAsia="Calibri"/>
        </w:rPr>
        <w:instrText>&lt;/title&gt;&lt;uuid&gt;75605353-3CA8-4BA9-B072-FC2CAF07EDFE&lt;/uuid&gt;&lt;subtype&gt;-100&lt;/subtype&gt;&lt;type&gt;-100&lt;/type&gt;&lt;/publication&gt;&lt;/bundle&gt;&lt;authors&gt;&lt;author&gt;&lt;lastName&gt;Tian&lt;/lastName&gt;&lt;firstName&gt;Y&lt;/firstName&gt;&lt;/author&gt;&lt;author&gt;&lt;lastName&gt;of&lt;/lastName&gt;&lt;firstName&gt;MJ&lt;/firstName&gt;&lt;middleNames&gt;Schuemie International journal&lt;/middleNames&gt;&lt;/author&gt;&lt;author&gt;&lt;lastName&gt;2018&lt;/lastName&gt;&lt;/author&gt;&lt;/authors&gt;&lt;/publication&gt;&lt;/publications&gt;&lt;cites&gt;&lt;/cites&gt;&lt;/citation&gt;</w:instrText>
      </w:r>
      <w:r>
        <w:rPr>
          <w:rFonts w:eastAsia="Calibri"/>
        </w:rPr>
        <w:fldChar w:fldCharType="separate"/>
      </w:r>
      <w:r>
        <w:rPr>
          <w:rFonts w:eastAsia="Calibri"/>
        </w:rPr>
        <w:t>(</w:t>
      </w:r>
      <w:r>
        <w:rPr>
          <w:rFonts w:eastAsia="Calibri"/>
          <w:i/>
          <w:iCs/>
        </w:rPr>
        <w:t>18</w:t>
      </w:r>
      <w:r>
        <w:rPr>
          <w:rFonts w:eastAsia="Calibri"/>
        </w:rPr>
        <w:t xml:space="preserve">, </w:t>
      </w:r>
      <w:r>
        <w:rPr>
          <w:rFonts w:eastAsia="Calibri"/>
          <w:i/>
          <w:iCs/>
        </w:rPr>
        <w:t>22</w:t>
      </w:r>
      <w:r>
        <w:rPr>
          <w:rFonts w:eastAsia="Calibri"/>
        </w:rPr>
        <w:t xml:space="preserve">, </w:t>
      </w:r>
      <w:r>
        <w:rPr>
          <w:rFonts w:eastAsia="Calibri"/>
          <w:i/>
          <w:iCs/>
        </w:rPr>
        <w:t>23</w:t>
      </w:r>
      <w:r>
        <w:rPr>
          <w:rFonts w:eastAsia="Calibri"/>
        </w:rPr>
        <w:t>)</w:t>
      </w:r>
      <w:r>
        <w:rPr>
          <w:rFonts w:eastAsia="Calibri"/>
        </w:rPr>
        <w:fldChar w:fldCharType="end"/>
      </w:r>
      <w:r>
        <w:t>. After matching, we discovered good covariate balance between the target and comparator cohorts and sufficient patient attrition for measuring outcomes (</w:t>
      </w:r>
      <w:r w:rsidRPr="007B5E63">
        <w:rPr>
          <w:b/>
          <w:bCs/>
        </w:rPr>
        <w:t>Fig. S1., Table S3.</w:t>
      </w:r>
      <w:r w:rsidRPr="007B5E63">
        <w:t>).</w:t>
      </w:r>
    </w:p>
    <w:p w14:paraId="4974FB23" w14:textId="0B003B72" w:rsidR="00742CD6" w:rsidRDefault="00742CD6" w:rsidP="000D3216">
      <w:pPr>
        <w:pStyle w:val="Paragraph"/>
        <w:spacing w:line="480" w:lineRule="auto"/>
        <w:ind w:firstLine="0"/>
      </w:pPr>
      <w:r>
        <w:t>We measured the risk of sepsis between these two drug classes without a combination therapy and with co-administration of albuterol (</w:t>
      </w:r>
      <w:r w:rsidRPr="00643502">
        <w:rPr>
          <w:b/>
          <w:bCs/>
        </w:rPr>
        <w:t>Fig. 4</w:t>
      </w:r>
      <w:r>
        <w:t xml:space="preserve">., </w:t>
      </w:r>
      <w:r>
        <w:rPr>
          <w:b/>
          <w:bCs/>
        </w:rPr>
        <w:t>Table 3</w:t>
      </w:r>
      <w:r>
        <w:t xml:space="preserve">). The risk of sepsis occurring in the ADBR2-net class is increased compared to the non-ADBR2-net class when albuterol is used concurrently: </w:t>
      </w:r>
      <w:r w:rsidR="008A11C2">
        <w:t>Hazard Ratio (</w:t>
      </w:r>
      <w:r>
        <w:t>HR</w:t>
      </w:r>
      <w:r w:rsidR="008A11C2">
        <w:t>)</w:t>
      </w:r>
      <w:r>
        <w:t>=0.792 with the combination compared to HR=0.525 without the combination</w:t>
      </w:r>
      <w:r w:rsidR="00D821A2">
        <w:t xml:space="preserve">; this </w:t>
      </w:r>
      <w:r>
        <w:t xml:space="preserve">yielded an HR-ratio of 1.51. The risk of sepsis from paroxetine or atropine </w:t>
      </w:r>
      <w:r>
        <w:lastRenderedPageBreak/>
        <w:t xml:space="preserve">(ADBR2-network class) was less than non-ADBR2-network class drugs, however, the combined use of albuterol with paroxetine or atropine increased the risk of sepsis compared to non-ADBR2-network class. We did not discover literature evidence supporting sepsis outcomes in combined use of atropine or paroxetine with albuterol. A retrospective chart review supported that albuterol and atropine were both therapeutic options for systematic bradycardia </w:t>
      </w:r>
      <w:r>
        <w:fldChar w:fldCharType="begin"/>
      </w:r>
      <w:r>
        <w:instrText xml:space="preserve"> ADDIN PAPERS2_CITATIONS &lt;citation&gt;&lt;priority&gt;19&lt;/priority&gt;&lt;uuid&gt;064C60CF-C85F-401C-8EEF-8068E647381B&lt;/uuid&gt;&lt;publications&gt;&lt;publication&gt;&lt;subtype&gt;400&lt;/subtype&gt;&lt;publisher&gt;Springer Milan&lt;/publisher&gt;&lt;title&gt;Oral albuterol to treat symptomatic bradycardia in acute spinal cord injury.&lt;/title&gt;&lt;url&gt;https://link.springer.com/article/10.1007/s11739-015-1324-3&lt;/url&gt;&lt;volume&gt;11&lt;/volume&gt;&lt;publication_date&gt;99201602001200000000220000&lt;/publication_date&gt;&lt;uuid&gt;D6BCE6FD-1B17-4180-B522-89FAA04C1098&lt;/uuid&gt;&lt;type&gt;400&lt;/type&gt;&lt;accepted_date&gt;99201509161200000000222000&lt;/accepted_date&gt;&lt;number&gt;1&lt;/number&gt;&lt;submission_date&gt;99201505051200000000222000&lt;/submission_date&gt;&lt;doi&gt;10.1007/s11739-015-1324-3&lt;/doi&gt;&lt;institution&gt;Department of Emergency Medicine, MSC11 6025, University of New Mexico School of Medicine, 1 University of New Mexico, Albuquerque, NM, 87131-0001, USA. arollstin@salud.unm.edu.&lt;/institution&gt;&lt;startpage&gt;101&lt;/startpage&gt;&lt;endpage&gt;105&lt;/endpage&gt;&lt;bundle&gt;&lt;publication&gt;&lt;title&gt;Internal and emergency medicine&lt;/title&gt;&lt;uuid&gt;944A8EB8-5E90-4843-BAA6-27802855761B&lt;/uuid&gt;&lt;subtype&gt;-100&lt;/subtype&gt;&lt;type&gt;-100&lt;/type&gt;&lt;/publication&gt;&lt;/bundle&gt;&lt;authors&gt;&lt;author&gt;&lt;lastName&gt;Rollstin&lt;/lastName&gt;&lt;firstName&gt;Amber&lt;/firstName&gt;&lt;/author&gt;&lt;author&gt;&lt;lastName&gt;Carey&lt;/lastName&gt;&lt;firstName&gt;Michael&lt;/firstName&gt;&lt;middleNames&gt;C&lt;/middleNames&gt;&lt;/author&gt;&lt;author&gt;&lt;lastName&gt;Doherty&lt;/lastName&gt;&lt;firstName&gt;Gloria&lt;/firstName&gt;&lt;/author&gt;&lt;author&gt;&lt;lastName&gt;Tawil&lt;/lastName&gt;&lt;firstName&gt;Isaac&lt;/firstName&gt;&lt;/author&gt;&lt;author&gt;&lt;lastName&gt;Marinaro&lt;/lastName&gt;&lt;firstName&gt;Jonathan&lt;/firstName&gt;&lt;/author&gt;&lt;/authors&gt;&lt;/publication&gt;&lt;/publications&gt;&lt;cites&gt;&lt;/cites&gt;&lt;/citation&gt;</w:instrText>
      </w:r>
      <w:r>
        <w:fldChar w:fldCharType="separate"/>
      </w:r>
      <w:r>
        <w:rPr>
          <w:rFonts w:eastAsia="Calibri"/>
        </w:rPr>
        <w:t>(</w:t>
      </w:r>
      <w:r>
        <w:rPr>
          <w:rFonts w:eastAsia="Calibri"/>
          <w:i/>
          <w:iCs/>
        </w:rPr>
        <w:t>24</w:t>
      </w:r>
      <w:r>
        <w:rPr>
          <w:rFonts w:eastAsia="Calibri"/>
        </w:rPr>
        <w:t>)</w:t>
      </w:r>
      <w:r>
        <w:fldChar w:fldCharType="end"/>
      </w:r>
      <w:r>
        <w:t xml:space="preserve">, suggesting that patients may have overlapping exposures to these drugs. A clinical trial in infants suffering from chronic lung disease observed that salbutamol (a synonym of albuterol) had no observable effect on patient sepsis </w:t>
      </w:r>
      <w:r>
        <w:fldChar w:fldCharType="begin"/>
      </w:r>
      <w:r>
        <w:instrText xml:space="preserve"> ADDIN PAPERS2_CITATIONS &lt;citation&gt;&lt;priority&gt;20&lt;/priority&gt;&lt;uuid&gt;F086320D-3C1A-41B2-ADE3-198DA6858033&lt;/uuid&gt;&lt;publications&gt;&lt;publication&gt;&lt;subtype&gt;400&lt;/subtype&gt;&lt;publisher&gt;John Wiley &amp;amp; Sons, Ltd&lt;/publisher&gt;&lt;title&gt;Bronchodilators for the prevention and treatment of chronic lung disease in preterm infants.&lt;/title&gt;&lt;url&gt;https://www.cochranelibrary.com/cdsr/doi/10.1002/14651858.CD003214.pub3/full&lt;/url&gt;&lt;volume&gt;12&lt;/volume&gt;&lt;publication_date&gt;99201612141200000000222000&lt;/publication_date&gt;&lt;uuid&gt;11AD0CC9-8C8B-4643-95FB-894BA83D0030&lt;/uuid&gt;&lt;type&gt;400&lt;/type&gt;&lt;number&gt;12&lt;/number&gt;&lt;doi&gt;10.1002/14651858.CD003214.pub3&lt;/doi&gt;&lt;institution&gt;Department of Neonatology, Imperial College Healthcare NHS Trust, Hammersmith Hospital, 5th Floor, Hammersmith House, Du Cane Road, London, UK, W12 0HS.&lt;/institution&gt;&lt;startpage&gt;CD003214&lt;/startpage&gt;&lt;bundle&gt;&lt;publication&gt;&lt;title&gt;The Cochrane database of systematic reviews&lt;/title&gt;&lt;uuid&gt;28FD298E-F01E-4304-B0E6-42D6B55D334A&lt;/uuid&gt;&lt;subtype&gt;-100&lt;/subtype&gt;&lt;type&gt;-100&lt;/type&gt;&lt;/publication&gt;&lt;/bundle&gt;&lt;authors&gt;&lt;author&gt;&lt;lastName&gt;Ng&lt;/lastName&gt;&lt;firstName&gt;Geraldine&lt;/firstName&gt;&lt;/author&gt;&lt;author&gt;&lt;lastName&gt;Silva&lt;/lastName&gt;&lt;nonDroppingParticle&gt;da&lt;/nonDroppingParticle&gt;&lt;firstName&gt;Orlando&lt;/firstName&gt;&lt;/author&gt;&lt;author&gt;&lt;lastName&gt;Ohlsson&lt;/lastName&gt;&lt;firstName&gt;Arne&lt;/firstName&gt;&lt;/author&gt;&lt;/authors&gt;&lt;/publication&gt;&lt;/publications&gt;&lt;cites&gt;&lt;/cites&gt;&lt;/citation&gt;</w:instrText>
      </w:r>
      <w:r>
        <w:fldChar w:fldCharType="separate"/>
      </w:r>
      <w:r>
        <w:rPr>
          <w:rFonts w:eastAsia="Calibri"/>
        </w:rPr>
        <w:t>(</w:t>
      </w:r>
      <w:r>
        <w:rPr>
          <w:rFonts w:eastAsia="Calibri"/>
          <w:i/>
          <w:iCs/>
        </w:rPr>
        <w:t>25</w:t>
      </w:r>
      <w:r>
        <w:rPr>
          <w:rFonts w:eastAsia="Calibri"/>
        </w:rPr>
        <w:t>)</w:t>
      </w:r>
      <w:r>
        <w:fldChar w:fldCharType="end"/>
      </w:r>
      <w:r>
        <w:t xml:space="preserve">, further supporting that albuterol </w:t>
      </w:r>
      <w:r w:rsidR="00EE0B8D">
        <w:t>isn’t associated with</w:t>
      </w:r>
      <w:r>
        <w:t xml:space="preserve"> sepsis when used alone.</w:t>
      </w:r>
    </w:p>
    <w:p w14:paraId="2D908F0C" w14:textId="0DA7FD21" w:rsidR="00742CD6" w:rsidRDefault="00742CD6" w:rsidP="000D3216">
      <w:pPr>
        <w:pStyle w:val="Paragraph"/>
        <w:spacing w:line="480" w:lineRule="auto"/>
        <w:ind w:firstLine="0"/>
        <w:rPr>
          <w:b/>
          <w:bCs/>
          <w:iCs/>
        </w:rPr>
      </w:pPr>
      <w:r>
        <w:rPr>
          <w:b/>
          <w:bCs/>
          <w:iCs/>
        </w:rPr>
        <w:t>Altered pancreatitis outcomes for network-classified drugs in a novel observational study</w:t>
      </w:r>
    </w:p>
    <w:p w14:paraId="335A3368" w14:textId="22F549BA" w:rsidR="00742CD6" w:rsidRDefault="00742CD6" w:rsidP="000D3216">
      <w:pPr>
        <w:pStyle w:val="Teaser"/>
        <w:spacing w:line="480" w:lineRule="auto"/>
      </w:pPr>
      <w:r>
        <w:t>We next investigated the effect of aspirin (also known as a</w:t>
      </w:r>
      <w:r w:rsidRPr="00BA062D">
        <w:t>cetylsalicylic acid</w:t>
      </w:r>
      <w:r>
        <w:t xml:space="preserve">) prescribed in combination with drug network classes associated with aspirin target proteins. This analysis was </w:t>
      </w:r>
      <w:r w:rsidR="009677F4">
        <w:t>like</w:t>
      </w:r>
      <w:r>
        <w:t xml:space="preserve"> the analysis of albuterol, except that we classified pancreatitis-associated drugs by </w:t>
      </w:r>
      <w:r w:rsidR="00AB75B7">
        <w:t>aspirin</w:t>
      </w:r>
      <w:r>
        <w:t xml:space="preserve"> target proteins. We discovered downstream network proteins for 80 drugs with pancreatitis listed on their labels. From this 80-drug set, eight drug networks contained at least one of the following aspirin target proteins – tumor protein p53 (TP53), endothelin receptor type A (EDRNA), or nuclear factor of kappa light chain gene enhancer of B-cells, inhibitor alpha (NFKBIA) – and did not share other aspirin target proteins. We classified these eight drugs as the “T-E-N-net” class. Of the remaining 72 drugs, 28 drugs did not share aspirin target proteins or have downstream connections to aspirin target proteins. We classified these 28 drugs as the “non-T-E-N-net” class. All drugs in both classes are listed in </w:t>
      </w:r>
      <w:r>
        <w:rPr>
          <w:rFonts w:eastAsia="Calibri"/>
          <w:b/>
          <w:bCs/>
        </w:rPr>
        <w:t>Table S4</w:t>
      </w:r>
      <w:r>
        <w:rPr>
          <w:rFonts w:eastAsia="Calibri"/>
        </w:rPr>
        <w:t xml:space="preserve">. </w:t>
      </w:r>
      <w:r>
        <w:t>We hypothesized that aspirin would increase the risk of pancreatitis when co-administered with the T-E-N-net class but not with the non-T-E-N-net class.</w:t>
      </w:r>
    </w:p>
    <w:p w14:paraId="2672EE3B" w14:textId="77777777" w:rsidR="00742CD6" w:rsidRDefault="00742CD6" w:rsidP="000D3216">
      <w:pPr>
        <w:pStyle w:val="Teaser"/>
        <w:spacing w:line="480" w:lineRule="auto"/>
      </w:pPr>
      <w:r>
        <w:lastRenderedPageBreak/>
        <w:t>As above, we extracted patients from the Optum dataset to be used in the target/comparator cohorts if they had an exposure to the T-E-N-net/non-T-E-N-net classes, respectively. We defined combined exposure cohorts as mentioned previously, except that patients were required to have a drug exposure to aspirin that overlapped with an exposure to the T-E-N-net or non-T-E-N-net classes. We also used propensity score analysis and patient-matching to calculate the relative risk of pancreatitis with the aspirin combination. Again, we had sufficient patient attrition and covariate balance to pursue further analysis (</w:t>
      </w:r>
      <w:r w:rsidRPr="007A1917">
        <w:rPr>
          <w:b/>
          <w:bCs/>
        </w:rPr>
        <w:t>Fig. S2., Table S5.</w:t>
      </w:r>
      <w:r w:rsidRPr="007A1917">
        <w:t>).</w:t>
      </w:r>
    </w:p>
    <w:p w14:paraId="222A11EC" w14:textId="7F7C168E" w:rsidR="00742CD6" w:rsidRDefault="00742CD6" w:rsidP="000D3216">
      <w:pPr>
        <w:pStyle w:val="Teaser"/>
        <w:spacing w:line="480" w:lineRule="auto"/>
      </w:pPr>
      <w:r>
        <w:t>After designing cohorts and looking for covariate balance, we measured hazard ratios for patients in these groups (</w:t>
      </w:r>
      <w:r w:rsidRPr="00643502">
        <w:rPr>
          <w:b/>
          <w:bCs/>
        </w:rPr>
        <w:t>Fig. 4</w:t>
      </w:r>
      <w:r>
        <w:t xml:space="preserve">., </w:t>
      </w:r>
      <w:r>
        <w:rPr>
          <w:b/>
          <w:bCs/>
        </w:rPr>
        <w:t>Table 3</w:t>
      </w:r>
      <w:r>
        <w:t>) using cox proportional hazards. The risk of pancreatitis occurring in the T-E-N-net class increased relative to the non-T-E-N-net class when aspirin is used concurrently: HR = 1.01 with the combination compared to HR=0.580 without the combination</w:t>
      </w:r>
      <w:r w:rsidR="009677F4">
        <w:t xml:space="preserve">; this </w:t>
      </w:r>
      <w:r>
        <w:t>yielded an HR-ratio of 1.74. The T-E-N-net class had a lower risk of pancreatitis compared to the non-T-E-N-net class, and the addition of aspirin increased the risk of the T-E-N-net class compared to the non-T-E-N-net class. The change in risk of drugs with network associations to the combo drug in these two cases encouraged us to pursue further validation. Aspirin inhibits prostaglandins and inhibits pancreas ductal permeability</w:t>
      </w:r>
      <w:r w:rsidRPr="00C47FC6">
        <w:t xml:space="preserve"> </w:t>
      </w:r>
      <w:r>
        <w:fldChar w:fldCharType="begin"/>
      </w:r>
      <w:r>
        <w:instrText xml:space="preserve"> ADDIN PAPERS2_CITATIONS &lt;citation&gt;&lt;priority&gt;21&lt;/priority&gt;&lt;uuid&gt;7449B14B-FD34-43EA-8EB0-B0EAB5D08EA6&lt;/uuid&gt;&lt;publications&gt;&lt;publication&gt;&lt;subtype&gt;400&lt;/subtype&gt;&lt;publisher&gt;Baishideng Publishing Group Inc.&lt;/publisher&gt;&lt;title&gt;Contemporary review of drug-induced pancreatitis: A different perspective.&lt;/title&gt;&lt;url&gt;https://www.wjgnet.com/2150-5330/full/v5/i4/405.htm&lt;/url&gt;&lt;volume&gt;5&lt;/volume&gt;&lt;revision_date&gt;99201406171200000000222000&lt;/revision_date&gt;&lt;publication_date&gt;99201411151200000000222000&lt;/publication_date&gt;&lt;uuid&gt;1CD2D094-A86E-4B74-999A-47FDAB697F27&lt;/uuid&gt;&lt;type&gt;400&lt;/type&gt;&lt;accepted_date&gt;99201407251200000000222000&lt;/accepted_date&gt;&lt;number&gt;4&lt;/number&gt;&lt;submission_date&gt;99201402201200000000222000&lt;/submission_date&gt;&lt;doi&gt;10.4291/wjgp.v5.i4.405&lt;/doi&gt;&lt;institution&gt;Whitney Y Hung, Department of Pharmacy, Yale New Haven Hospital, New Haven, CT 06510, United States.&lt;/institution&gt;&lt;startpage&gt;405&lt;/startpage&gt;&lt;endpage&gt;415&lt;/endpage&gt;&lt;bundle&gt;&lt;publication&gt;&lt;title&gt;World journal of gastrointestinal pathophysiology&lt;/title&gt;&lt;uuid&gt;468ED1F0-D211-47E8-BBD4-C070A1804DFF&lt;/uuid&gt;&lt;subtype&gt;-100&lt;/subtype&gt;&lt;type&gt;-100&lt;/type&gt;&lt;/publication&gt;&lt;/bundle&gt;&lt;authors&gt;&lt;author&gt;&lt;lastName&gt;Hung&lt;/lastName&gt;&lt;firstName&gt;Whitney&lt;/firstName&gt;&lt;middleNames&gt;Y&lt;/middleNames&gt;&lt;/author&gt;&lt;author&gt;&lt;lastName&gt;Abreu Lanfranco&lt;/lastName&gt;&lt;firstName&gt;Odaliz&lt;/firstName&gt;&lt;/author&gt;&lt;/authors&gt;&lt;/publication&gt;&lt;/publications&gt;&lt;cites&gt;&lt;/cites&gt;&lt;/citation&gt;</w:instrText>
      </w:r>
      <w:r>
        <w:fldChar w:fldCharType="separate"/>
      </w:r>
      <w:r>
        <w:rPr>
          <w:rFonts w:eastAsia="Calibri"/>
        </w:rPr>
        <w:t>(</w:t>
      </w:r>
      <w:r>
        <w:rPr>
          <w:rFonts w:eastAsia="Calibri"/>
          <w:i/>
          <w:iCs/>
        </w:rPr>
        <w:t>26</w:t>
      </w:r>
      <w:r>
        <w:rPr>
          <w:rFonts w:eastAsia="Calibri"/>
        </w:rPr>
        <w:t>)</w:t>
      </w:r>
      <w:r>
        <w:fldChar w:fldCharType="end"/>
      </w:r>
      <w:r>
        <w:t>, suggesting that aspirin could exacerbate pancreatitis when used in combination with other drugs associated with this ADR. While insufficient to make conclusions, at least one study referenced the concomitant use of aspirin and aripiprazole</w:t>
      </w:r>
      <w:r w:rsidR="007344E3">
        <w:t xml:space="preserve"> (a T-E-N-net class drug)</w:t>
      </w:r>
      <w:r>
        <w:t xml:space="preserve"> and documented an occurrence of pancreatitis; the report documented a 50-year old woman experiencing pancreatitis when aspirin and aripiprazole</w:t>
      </w:r>
      <w:r w:rsidR="007344E3">
        <w:t xml:space="preserve"> </w:t>
      </w:r>
      <w:r>
        <w:t>were used concomitantly, though the case report concluded that the pancreatitis may have been due to a third medication</w:t>
      </w:r>
      <w:r w:rsidRPr="00C47FC6">
        <w:t xml:space="preserve"> </w:t>
      </w:r>
      <w:r>
        <w:fldChar w:fldCharType="begin"/>
      </w:r>
      <w:r>
        <w:instrText xml:space="preserve"> ADDIN PAPERS2_CITATIONS &lt;citation&gt;&lt;priority&gt;22&lt;/priority&gt;&lt;uuid&gt;C14672A0-CD90-4358-866F-8BE80FE48553&lt;/uuid&gt;&lt;publications&gt;&lt;publication&gt;&lt;subtype&gt;400&lt;/subtype&gt;&lt;publisher&gt;Taylor &amp;amp; Francis&lt;/publisher&gt;&lt;title&gt;Metformin-induced lactic acidosis and acute pancreatitis precipitated by diuretic, celecoxib, and candesartan-associated acute kidney dysfunction.&lt;/title&gt;&lt;url&gt;https://www.tandfonline.com/doi/abs/10.1080/15563650701355314&lt;/url&gt;&lt;volume&gt;46&lt;/volume&gt;&lt;publication_date&gt;99200802001200000000220000&lt;/publication_date&gt;&lt;uuid&gt;60572C79-EB70-4354-8AAB-E0E72DFFFA16&lt;/uuid&gt;&lt;type&gt;400&lt;/type&gt;&lt;number&gt;2&lt;/number&gt;&lt;doi&gt;10.1080/15563650701355314&lt;/doi&gt;&lt;institution&gt;Beth Israel Medical Center, Nephrology and Hypertension, New York, New York 10003, USA.&lt;/institution&gt;&lt;startpage&gt;164&lt;/startpage&gt;&lt;endpage&gt;166&lt;/endpage&gt;&lt;bundle&gt;&lt;publication&gt;&lt;title&gt;Clinical toxicology (Philadelphia, Pa.)&lt;/title&gt;&lt;uuid&gt;81CECB65-3AC8-4776-90D0-8BA4B0D90F8C&lt;/uuid&gt;&lt;subtype&gt;-100&lt;/subtype&gt;&lt;type&gt;-100&lt;/type&gt;&lt;/publication&gt;&lt;/bundle&gt;&lt;authors&gt;&lt;author&gt;&lt;lastName&gt;Audia&lt;/lastName&gt;&lt;firstName&gt;Pat&lt;/firstName&gt;&lt;/author&gt;&lt;author&gt;&lt;lastName&gt;Feinfeld&lt;/lastName&gt;&lt;firstName&gt;Donald&lt;/firstName&gt;&lt;middleNames&gt;A&lt;/middleNames&gt;&lt;/author&gt;&lt;author&gt;&lt;lastName&gt;Dubrow&lt;/lastName&gt;&lt;firstName&gt;Alan&lt;/firstName&gt;&lt;/author&gt;&lt;author&gt;&lt;lastName&gt;Winchester&lt;/lastName&gt;&lt;firstName&gt;James&lt;/firstName&gt;&lt;middleNames&gt;F&lt;/middleNames&gt;&lt;/author&gt;&lt;/authors&gt;&lt;/publication&gt;&lt;/publications&gt;&lt;cites&gt;&lt;/cites&gt;&lt;/citation&gt;</w:instrText>
      </w:r>
      <w:r>
        <w:fldChar w:fldCharType="separate"/>
      </w:r>
      <w:r>
        <w:rPr>
          <w:rFonts w:eastAsia="Calibri"/>
        </w:rPr>
        <w:t>(</w:t>
      </w:r>
      <w:r>
        <w:rPr>
          <w:rFonts w:eastAsia="Calibri"/>
          <w:i/>
          <w:iCs/>
        </w:rPr>
        <w:t>27</w:t>
      </w:r>
      <w:r>
        <w:rPr>
          <w:rFonts w:eastAsia="Calibri"/>
        </w:rPr>
        <w:t>)</w:t>
      </w:r>
      <w:r>
        <w:fldChar w:fldCharType="end"/>
      </w:r>
      <w:r>
        <w:t xml:space="preserve">. Our network classification </w:t>
      </w:r>
      <w:r>
        <w:lastRenderedPageBreak/>
        <w:t>predicted a DDI of pancreatitis for combined use of aspirin and aripiprazole, suggesting an alternative explanation for the patient’s pancreatitis outcome.</w:t>
      </w:r>
    </w:p>
    <w:p w14:paraId="158D4448" w14:textId="1149B8F9" w:rsidR="004A10BE" w:rsidRPr="00175CBB" w:rsidRDefault="00D663DF" w:rsidP="000D3216">
      <w:pPr>
        <w:pStyle w:val="Paragraph"/>
        <w:spacing w:line="480" w:lineRule="auto"/>
        <w:ind w:firstLine="0"/>
        <w:rPr>
          <w:b/>
          <w:bCs/>
          <w:iCs/>
        </w:rPr>
      </w:pPr>
      <w:r>
        <w:rPr>
          <w:b/>
          <w:bCs/>
          <w:iCs/>
        </w:rPr>
        <w:t>Novel observational studies for 5</w:t>
      </w:r>
      <w:r w:rsidR="00E21159">
        <w:rPr>
          <w:b/>
          <w:bCs/>
          <w:iCs/>
        </w:rPr>
        <w:t>8 additional</w:t>
      </w:r>
      <w:r>
        <w:rPr>
          <w:b/>
          <w:bCs/>
          <w:iCs/>
        </w:rPr>
        <w:t xml:space="preserve"> DDI classes discovered using ARPs</w:t>
      </w:r>
    </w:p>
    <w:p w14:paraId="48268565" w14:textId="77777777" w:rsidR="00E21159" w:rsidRDefault="00D663DF" w:rsidP="00E21159">
      <w:pPr>
        <w:pStyle w:val="Teaser"/>
        <w:spacing w:line="480" w:lineRule="auto"/>
        <w:rPr>
          <w:rFonts w:eastAsia="Calibri"/>
        </w:rPr>
      </w:pPr>
      <w:r>
        <w:t xml:space="preserve">We sought validation for an additional </w:t>
      </w:r>
      <w:r w:rsidRPr="00D50A81">
        <w:t>58</w:t>
      </w:r>
      <w:r>
        <w:t xml:space="preserve"> network-class DDIs predicted from using ARPs because these predictions had higher sensitivity for anticipating effects in TWOSIDES (</w:t>
      </w:r>
      <w:r w:rsidRPr="004E1DBE">
        <w:rPr>
          <w:b/>
          <w:bCs/>
        </w:rPr>
        <w:t>Table S6</w:t>
      </w:r>
      <w:r>
        <w:t xml:space="preserve"> and </w:t>
      </w:r>
      <w:r>
        <w:rPr>
          <w:b/>
          <w:bCs/>
        </w:rPr>
        <w:t>Sup. File 5</w:t>
      </w:r>
      <w:r>
        <w:t xml:space="preserve">). For these 58 predictions, we estimated a hazard ratio using Cox regression on a 1-1 propensity score matched cohort with a caliper of 0.1. We used a logistic regression propensity score model trained on low dimensional CLMBR patient representations </w:t>
      </w:r>
      <w:r w:rsidR="00E21159">
        <w:rPr>
          <w:rFonts w:eastAsia="Calibri"/>
        </w:rPr>
        <w:fldChar w:fldCharType="begin"/>
      </w:r>
      <w:r w:rsidR="00E21159">
        <w:rPr>
          <w:rFonts w:eastAsia="Calibri"/>
        </w:rPr>
        <w:instrText xml:space="preserve"> ADDIN PAPERS2_CITATIONS &lt;citation&gt;&lt;priority&gt;24&lt;/priority&gt;&lt;uuid&gt;79467F96-91BC-49DA-A70D-25E1DADEA325&lt;/uuid&gt;&lt;publications&gt;&lt;publication&gt;&lt;subtype&gt;400&lt;/subtype&gt;&lt;title&gt;Language models are an effective representation learning technique for electronic health record data&lt;/title&gt;&lt;url&gt;https://www.sciencedirect.com/science/article/pii/S1532046420302653&lt;/url&gt;&lt;uuid&gt;D8B41A0A-2270-4322-9FAB-B85364A2FFC4&lt;/uuid&gt;&lt;type&gt;400&lt;/type&gt;&lt;bundle&gt;&lt;publication&gt;&lt;title&gt;Elsevier</w:instrText>
      </w:r>
    </w:p>
    <w:p w14:paraId="1FFFAB81" w14:textId="08D84AB0" w:rsidR="00D663DF" w:rsidRDefault="00E21159" w:rsidP="00E21159">
      <w:pPr>
        <w:pStyle w:val="Teaser"/>
        <w:spacing w:line="480" w:lineRule="auto"/>
      </w:pPr>
      <w:r>
        <w:rPr>
          <w:rFonts w:eastAsia="Calibri"/>
        </w:rPr>
        <w:instrText>&lt;/title&gt;&lt;uuid&gt;19D23AD8-1B18-415D-937C-7809ECD55294&lt;/uuid&gt;&lt;subtype&gt;-100&lt;/subtype&gt;&lt;type&gt;-100&lt;/type&gt;&lt;/publication&gt;&lt;/bundle&gt;&lt;authors&gt;&lt;author&gt;&lt;lastName&gt;Steinberg&lt;/lastName&gt;&lt;firstName&gt;E&lt;/firstName&gt;&lt;/author&gt;&lt;author&gt;&lt;lastName&gt;Jung&lt;/lastName&gt;&lt;firstName&gt;K&lt;/firstName&gt;&lt;/author&gt;&lt;author&gt;&lt;lastName&gt;Fries&lt;/lastName&gt;&lt;firstName&gt;J&lt;/firstName&gt;&lt;middleNames&gt;A&lt;/middleNames&gt;&lt;/author&gt;&lt;author&gt;&lt;lastName&gt;Biomedical&lt;/lastName&gt;&lt;firstName&gt;CK&lt;/firstName&gt;&lt;middleNames&gt;Corbin Journal of&lt;/middleNames&gt;&lt;/author&gt;&lt;author&gt;&lt;lastName&gt;2021&lt;/lastName&gt;&lt;/author&gt;&lt;/authors&gt;&lt;/publication&gt;&lt;/publications&gt;&lt;cites&gt;&lt;/cites&gt;&lt;/citation&gt;</w:instrText>
      </w:r>
      <w:r>
        <w:rPr>
          <w:rFonts w:eastAsia="Calibri"/>
        </w:rPr>
        <w:fldChar w:fldCharType="separate"/>
      </w:r>
      <w:r>
        <w:rPr>
          <w:rFonts w:eastAsia="Calibri"/>
        </w:rPr>
        <w:t>(</w:t>
      </w:r>
      <w:r>
        <w:rPr>
          <w:rFonts w:eastAsia="Calibri"/>
          <w:i/>
          <w:iCs/>
        </w:rPr>
        <w:t>28</w:t>
      </w:r>
      <w:r>
        <w:rPr>
          <w:rFonts w:eastAsia="Calibri"/>
        </w:rPr>
        <w:t>)</w:t>
      </w:r>
      <w:r>
        <w:rPr>
          <w:rFonts w:eastAsia="Calibri"/>
        </w:rPr>
        <w:fldChar w:fldCharType="end"/>
      </w:r>
      <w:r>
        <w:t xml:space="preserve">. </w:t>
      </w:r>
      <w:r w:rsidR="00D663DF">
        <w:t>Precomputed CLMBR representations enabled more rapid cohort definitions and HR-ratio estimation than CohortMethod. Like before, we included patients in our baseline/combo analysis if they had exposure to drugs in the network or non-network classes with/without the predicted combo drug, respectively. We measured HRs between network and non-network drug classes with and without drug combinations.</w:t>
      </w:r>
    </w:p>
    <w:p w14:paraId="2E634529" w14:textId="60ACCD41" w:rsidR="00D663DF" w:rsidRDefault="00D663DF" w:rsidP="000D3216">
      <w:pPr>
        <w:pStyle w:val="Teaser"/>
        <w:spacing w:line="480" w:lineRule="auto"/>
      </w:pPr>
      <w:r>
        <w:t>Like the two cases outlined above, we measured the relative risk between the net-GENE and non-net-GENE classes with and without the predicted combination drug for the 58 remaining class predictions (</w:t>
      </w:r>
      <w:r w:rsidRPr="000A355D">
        <w:rPr>
          <w:b/>
          <w:bCs/>
        </w:rPr>
        <w:t>Table S6</w:t>
      </w:r>
      <w:r>
        <w:t>). Not surprisingly because our drug interaction predictions are rare, we were unable to generate sufficient patient cohorts to measure HRs for all predicted classes. For 21 of the 58 total classes, we had sufficient patients to measure HR</w:t>
      </w:r>
      <w:r w:rsidR="001C5C57">
        <w:t>s</w:t>
      </w:r>
      <w:r>
        <w:t xml:space="preserve"> between the net-GENE and non-net-GENE classes and for 8 of these cases, there were also sufficient patients to measure HRs between drug classes with the predicted combination drugs (</w:t>
      </w:r>
      <w:r w:rsidRPr="000A355D">
        <w:rPr>
          <w:b/>
          <w:bCs/>
        </w:rPr>
        <w:t>Fig. S3</w:t>
      </w:r>
      <w:r>
        <w:t>).</w:t>
      </w:r>
      <w:r w:rsidR="00E21159">
        <w:t xml:space="preserve"> However, we removed one class prediction because the predicted combination drug’s indication was too </w:t>
      </w:r>
      <w:proofErr w:type="gramStart"/>
      <w:r w:rsidR="00E21159">
        <w:t>similar to</w:t>
      </w:r>
      <w:proofErr w:type="gramEnd"/>
      <w:r w:rsidR="00E21159">
        <w:t xml:space="preserve"> the side effect.</w:t>
      </w:r>
      <w:r>
        <w:t xml:space="preserve"> For the </w:t>
      </w:r>
      <w:r w:rsidR="00E21159">
        <w:t>7 remaining</w:t>
      </w:r>
      <w:r>
        <w:t xml:space="preserve"> classes we measured the change in Cox coefficient to estimate effects of the predicted DDIs</w:t>
      </w:r>
      <w:r w:rsidR="00E21159">
        <w:t>.</w:t>
      </w:r>
      <w:r>
        <w:t xml:space="preserve"> (</w:t>
      </w:r>
      <w:r w:rsidRPr="00B169C1">
        <w:rPr>
          <w:b/>
          <w:bCs/>
        </w:rPr>
        <w:t xml:space="preserve">Table </w:t>
      </w:r>
      <w:r>
        <w:rPr>
          <w:b/>
          <w:bCs/>
        </w:rPr>
        <w:t>4</w:t>
      </w:r>
      <w:r w:rsidRPr="00B169C1">
        <w:rPr>
          <w:b/>
          <w:bCs/>
        </w:rPr>
        <w:t>, Fig. S4</w:t>
      </w:r>
      <w:r>
        <w:t xml:space="preserve">). These DDI effects were moderate </w:t>
      </w:r>
      <w:r>
        <w:lastRenderedPageBreak/>
        <w:t>with HR-ratios that ranged from 0.85-1.17. The highest HR-ratio, 1.17, was measured for drug-induced hypertension associated with p</w:t>
      </w:r>
      <w:r w:rsidRPr="002A6D60">
        <w:t>roopiomelanocortin</w:t>
      </w:r>
      <w:r>
        <w:t xml:space="preserve"> (POMC) network class drugs used in combination with loperamide, an ingredient used to treat diarrhea. The lowest HR-ratio, 0.85, was measured for from drug-induced hypertension associated with prostaglandin E receptor 4 (</w:t>
      </w:r>
      <w:r w:rsidRPr="002A6D60">
        <w:t>PTGER4</w:t>
      </w:r>
      <w:r>
        <w:t>) network class drugs used in combination with m</w:t>
      </w:r>
      <w:r w:rsidRPr="002A6D60">
        <w:t>isoprostol</w:t>
      </w:r>
      <w:r>
        <w:t>, an ingredient once used to treat stomach ulcers. This result suggests a protective effect of misoprostol for the PTGER4 network drug class.</w:t>
      </w:r>
    </w:p>
    <w:p w14:paraId="61E12AF4" w14:textId="77777777" w:rsidR="008573F1" w:rsidRPr="00175CBB" w:rsidRDefault="009B1602" w:rsidP="000D3216">
      <w:pPr>
        <w:pStyle w:val="Paragraph"/>
        <w:spacing w:line="480" w:lineRule="auto"/>
        <w:ind w:firstLine="0"/>
      </w:pPr>
      <w:r w:rsidRPr="00175CBB">
        <w:rPr>
          <w:b/>
        </w:rPr>
        <w:t>DISCUSSION</w:t>
      </w:r>
      <w:r w:rsidRPr="00175CBB">
        <w:t xml:space="preserve"> </w:t>
      </w:r>
    </w:p>
    <w:p w14:paraId="654549AC" w14:textId="21A7C4DC" w:rsidR="00252DD5" w:rsidRDefault="00252DD5" w:rsidP="000D3216">
      <w:pPr>
        <w:pStyle w:val="Paragraph"/>
        <w:spacing w:line="480" w:lineRule="auto"/>
        <w:ind w:firstLine="0"/>
      </w:pPr>
      <w:r>
        <w:t>We predicted drug-drug interactions (DDIs) using network classification and validated our predictions using DDI databases and novel observational studies. We first extracted a novel dataset of drug-a</w:t>
      </w:r>
      <w:r w:rsidR="00FA7184">
        <w:t>d</w:t>
      </w:r>
      <w:r>
        <w:t xml:space="preserve">verse reaction (ADR) pairs using data extracted from drug labels. This dataset was crucial to our analysis and will be valuable to other investigations of drug ADRs. We used network analysis to discover downstream proteins associated with ADRs, reclassified drugs by their downstream proteins, and predicted DDIs based on network classification. We demonstrated high sensitivity for detecting rare DDIs using ARPs for classification, further supporting that rare or emerging drug-drug effects may arise when drugs do not share protein targets. Compared to other network approaches, our analysis was, to our knowledge, unique in the requirement that we excluded drugs with shared protein targets. This allowed us to exclusively explore DDIs that resulted from downstream effects and not a shared protein mechanism. We validated DDI predictions for albuterol and aspirin based on network classification and 58 additional DDI effects using novel observational studies. Overall, these results provide evidence for investigating downstream proteins for anticipating DDIs and that </w:t>
      </w:r>
      <w:r>
        <w:lastRenderedPageBreak/>
        <w:t xml:space="preserve">protein-protein interactions between drugs’ targets are sufficient for identifying </w:t>
      </w:r>
      <w:r w:rsidR="00D31D35">
        <w:t xml:space="preserve">drug combination </w:t>
      </w:r>
      <w:r>
        <w:t>effects.</w:t>
      </w:r>
    </w:p>
    <w:p w14:paraId="2E2837C2" w14:textId="7BB0DE11" w:rsidR="00252DD5" w:rsidRPr="000B0F8C" w:rsidRDefault="00252DD5" w:rsidP="000D3216">
      <w:pPr>
        <w:pStyle w:val="Paragraph"/>
        <w:spacing w:line="480" w:lineRule="auto"/>
        <w:ind w:firstLine="0"/>
      </w:pPr>
      <w:r>
        <w:t xml:space="preserve">Fortunately, rigorous regulatory review and good clinical practices prevent the use of many harmful drug </w:t>
      </w:r>
      <w:r w:rsidR="00FD5078">
        <w:t>combinations, and this limited our ability to extensively validate every prediction</w:t>
      </w:r>
      <w:r>
        <w:t xml:space="preserve">. </w:t>
      </w:r>
      <w:r w:rsidR="00FD5078">
        <w:t>W</w:t>
      </w:r>
      <w:r>
        <w:t xml:space="preserve">e could not measure DDI effect sizes for all network predictions, yet we found evidence for rare drug combinations. Nonetheless, </w:t>
      </w:r>
      <w:r>
        <w:rPr>
          <w:i/>
          <w:iCs/>
        </w:rPr>
        <w:t xml:space="preserve">in silico </w:t>
      </w:r>
      <w:r>
        <w:t>network analysis is relatively cheap and efficient and could aid in therapeutic development where anticipation of ADRs is essential for therapeutic development.</w:t>
      </w:r>
      <w:r w:rsidR="00FD5078">
        <w:t xml:space="preserve"> Further, our predictions are not documented in </w:t>
      </w:r>
      <w:r w:rsidR="00921181">
        <w:t>routinely used</w:t>
      </w:r>
      <w:r w:rsidR="00FD5078">
        <w:t xml:space="preserve"> DDI </w:t>
      </w:r>
      <w:r w:rsidR="00921181">
        <w:t>data sources</w:t>
      </w:r>
      <w:r w:rsidR="00FD5078">
        <w:t xml:space="preserve"> and integration of these predictions could inform clinical care or further research efforts.</w:t>
      </w:r>
      <w:r>
        <w:t xml:space="preserve"> Our discovery of drug combinations that mitigated ADR outcomes suggested a new paradigm for managing drug induced ADRs; </w:t>
      </w:r>
      <w:r w:rsidR="00BB6F69">
        <w:t>specifically,</w:t>
      </w:r>
      <w:r>
        <w:t xml:space="preserve"> that mitigating therapies could be prescribed based on drug network class. Similarly, </w:t>
      </w:r>
      <w:r w:rsidRPr="000B0F8C">
        <w:rPr>
          <w:i/>
          <w:iCs/>
        </w:rPr>
        <w:t>i</w:t>
      </w:r>
      <w:r>
        <w:rPr>
          <w:i/>
          <w:iCs/>
        </w:rPr>
        <w:t xml:space="preserve">n silico </w:t>
      </w:r>
      <w:r>
        <w:t>network analysis</w:t>
      </w:r>
      <w:r w:rsidR="00C711AA">
        <w:t xml:space="preserve"> which predicts therapies to mitigate side effects</w:t>
      </w:r>
      <w:r>
        <w:t xml:space="preserve"> could also inform safety analysis plans for clinical development.</w:t>
      </w:r>
    </w:p>
    <w:p w14:paraId="57EFD302" w14:textId="444107DB" w:rsidR="00252DD5" w:rsidRDefault="00252DD5" w:rsidP="000D3216">
      <w:pPr>
        <w:pStyle w:val="Paragraph"/>
        <w:spacing w:line="480" w:lineRule="auto"/>
        <w:ind w:firstLine="0"/>
      </w:pPr>
      <w:r>
        <w:t>Our results also have implications for advancing protein-protein interaction (PPI) networks for anticipating drug effects. There is sufficient evidence that PPI networks can anticipate drug effects and be used predictively for identifying repurposing opportunities. However, our analysis is distinct because of our emphasis on attribution; we aimed to ascribe drug effects to specific downstream proteins. Classifying drugs by their downstream proteins and measuring relative ADR risk in the presence of secondary drugs is evidence that drug effects could be attributed to downstream proteins</w:t>
      </w:r>
      <w:r w:rsidR="0036781F">
        <w:t xml:space="preserve"> discovered from PathFX network analysis</w:t>
      </w:r>
      <w:r>
        <w:t>. Further experimental validation would be required to investigate these hypotheses. However, it suggests that PPI methods are useful not just for pattern discovery (e.g.</w:t>
      </w:r>
      <w:r w:rsidR="006E610F">
        <w:t>,</w:t>
      </w:r>
      <w:r>
        <w:t xml:space="preserve"> drug A’s network is </w:t>
      </w:r>
      <w:r w:rsidR="00B272F7">
        <w:t>like</w:t>
      </w:r>
      <w:r>
        <w:t xml:space="preserve"> drug B’s network) but also for </w:t>
      </w:r>
      <w:r>
        <w:lastRenderedPageBreak/>
        <w:t>predicting mechanistic effects (e.g.</w:t>
      </w:r>
      <w:r w:rsidR="006E610F">
        <w:t>,</w:t>
      </w:r>
      <w:r>
        <w:t xml:space="preserve"> drug A’s ADR outcome is mediated by the downstream protein Y).</w:t>
      </w:r>
    </w:p>
    <w:p w14:paraId="267EE326" w14:textId="09336FA8" w:rsidR="00252DD5" w:rsidRDefault="00252DD5" w:rsidP="000D3216">
      <w:pPr>
        <w:pStyle w:val="Paragraph"/>
        <w:spacing w:line="480" w:lineRule="auto"/>
        <w:ind w:firstLine="0"/>
      </w:pPr>
      <w:r>
        <w:t xml:space="preserve">Our study expands a growing body of knowledge that drugs can exert synergistic effects without sharing drug-binding proteins, which </w:t>
      </w:r>
      <w:r w:rsidR="00FC3F82">
        <w:t>may</w:t>
      </w:r>
      <w:r>
        <w:t xml:space="preserve"> lead to a better understanding of adverse drug reactions and rational design of new therapeutic combinations. Drug synergy is a broad field where many frameworks are used to anticipate drug effects </w:t>
      </w:r>
      <w:r>
        <w:fldChar w:fldCharType="begin"/>
      </w:r>
      <w:r>
        <w:instrText xml:space="preserve"> ADDIN PAPERS2_CITATIONS &lt;citation&gt;&lt;priority&gt;0&lt;/priority&gt;&lt;uuid&gt;7768E3D4-9ED2-450E-8AD2-0397774D3A03&lt;/uuid&gt;&lt;publications&gt;&lt;publication&gt;&lt;subtype&gt;400&lt;/subtype&gt;&lt;publisher&gt;Nature Publishing Group&lt;/publisher&gt;&lt;title&gt;A community computational challenge to predict the activity of pairs of compounds&lt;/title&gt;&lt;url&gt;https://www.nature.com/articles/nbt.3052&lt;/url&gt;&lt;volume&gt;32&lt;/volume&gt;&lt;publication_date&gt;99201412011200000000222000&lt;/publication_date&gt;&lt;uuid&gt;18A427C5-808D-4E88-B9BD-9E7EDAE9BF70&lt;/uuid&gt;&lt;type&gt;400&lt;/type&gt;&lt;number&gt;12&lt;/number&gt;&lt;doi&gt;10.1038/nbt.3052&lt;/doi&gt;&lt;startpage&gt;1213&lt;/startpage&gt;&lt;endpage&gt;1222&lt;/endpage&gt;&lt;bundle&gt;&lt;publication&gt;&lt;title&gt;Nature Biotechnology&lt;/title&gt;&lt;uuid&gt;CA958681-F85C-4DAD-9C84-FC16EC8F25DF&lt;/uuid&gt;&lt;subtype&gt;-100&lt;/subtype&gt;&lt;publisher&gt;Nature Research&lt;/publisher&gt;&lt;type&gt;-100&lt;/type&gt;&lt;/publication&gt;&lt;/bundle&gt;&lt;authors&gt;&lt;author&gt;&lt;lastName&gt;Bansal&lt;/lastName&gt;&lt;firstName&gt;Mukesh&lt;/firstName&gt;&lt;/author&gt;&lt;author&gt;&lt;lastName&gt;Yang&lt;/lastName&gt;&lt;firstName&gt;Jichen&lt;/firstName&gt;&lt;/author&gt;&lt;author&gt;&lt;lastName&gt;Karan&lt;/lastName&gt;&lt;firstName&gt;Charles&lt;/firstName&gt;&lt;/author&gt;&lt;author&gt;&lt;lastName&gt;Menden&lt;/lastName&gt;&lt;firstName&gt;Michael&lt;/firstName&gt;&lt;middleNames&gt;P&lt;/middleNames&gt;&lt;/author&gt;&lt;author&gt;&lt;lastName&gt;Costello&lt;/lastName&gt;&lt;firstName&gt;James&lt;/firstName&gt;&lt;middleNames&gt;C&lt;/middleNames&gt;&lt;/author&gt;&lt;author&gt;&lt;lastName&gt;Tang&lt;/lastName&gt;&lt;firstName&gt;Hao&lt;/firstName&gt;&lt;/author&gt;&lt;author&gt;&lt;lastName&gt;Xiao&lt;/lastName&gt;&lt;firstName&gt;Guanghua&lt;/firstName&gt;&lt;/author&gt;&lt;author&gt;&lt;lastName&gt;Li&lt;/lastName&gt;&lt;firstName&gt;Yajuan&lt;/firstName&gt;&lt;/author&gt;&lt;author&gt;&lt;lastName&gt;Allen&lt;/lastName&gt;&lt;firstName&gt;Jeffrey&lt;/firstName&gt;&lt;/author&gt;&lt;author&gt;&lt;lastName&gt;Zhong&lt;/lastName&gt;&lt;firstName&gt;Rui&lt;/firstName&gt;&lt;/author&gt;&lt;author&gt;&lt;lastName&gt;Chen&lt;/lastName&gt;&lt;firstName&gt;Beibei&lt;/firstName&gt;&lt;/author&gt;&lt;author&gt;&lt;lastName&gt;Kim&lt;/lastName&gt;&lt;firstName&gt;Minsoo&lt;/firstName&gt;&lt;/author&gt;&lt;author&gt;&lt;lastName&gt;Wang&lt;/lastName&gt;&lt;firstName&gt;Tao&lt;/firstName&gt;&lt;/author&gt;&lt;author&gt;&lt;lastName&gt;Heiser&lt;/lastName&gt;&lt;firstName&gt;Laura&lt;/firstName&gt;&lt;middleNames&gt;M&lt;/middleNames&gt;&lt;/author&gt;&lt;author&gt;&lt;lastName&gt;Realubit&lt;/lastName&gt;&lt;firstName&gt;Ronald&lt;/firstName&gt;&lt;/author&gt;&lt;author&gt;&lt;lastName&gt;Mattioli&lt;/lastName&gt;&lt;firstName&gt;Michela&lt;/firstName&gt;&lt;/author&gt;&lt;author&gt;&lt;lastName&gt;Alvarez&lt;/lastName&gt;&lt;firstName&gt;Mariano&lt;/firstName&gt;&lt;middleNames&gt;J&lt;/middleNames&gt;&lt;/author&gt;&lt;author&gt;&lt;lastName&gt;Shen&lt;/lastName&gt;&lt;firstName&gt;Yao&lt;/firstName&gt;&lt;/author&gt;&lt;author&gt;&lt;lastName&gt;Gallahan&lt;/lastName&gt;&lt;firstName&gt;Daniel&lt;/firstName&gt;&lt;/author&gt;&lt;author&gt;&lt;lastName&gt;Singer&lt;/lastName&gt;&lt;firstName&gt;Dinah&lt;/firstName&gt;&lt;/author&gt;&lt;author&gt;&lt;lastName&gt;Saez-Rodriguez&lt;/lastName&gt;&lt;firstName&gt;Julio&lt;/firstName&gt;&lt;/author&gt;&lt;author&gt;&lt;lastName&gt;Xie&lt;/lastName&gt;&lt;firstName&gt;Yang&lt;/firstName&gt;&lt;/author&gt;&lt;author&gt;&lt;lastName&gt;Stolovitzky&lt;/lastName&gt;&lt;firstName&gt;Gustavo&lt;/firstName&gt;&lt;/author&gt;&lt;author&gt;&lt;lastName&gt;Califano&lt;/lastName&gt;&lt;firstName&gt;Andrea&lt;/firstName&gt;&lt;/author&gt;&lt;/authors&gt;&lt;/publication&gt;&lt;/publications&gt;&lt;cites&gt;&lt;/cites&gt;&lt;/citation&gt;</w:instrText>
      </w:r>
      <w:r>
        <w:fldChar w:fldCharType="separate"/>
      </w:r>
      <w:r>
        <w:rPr>
          <w:rFonts w:eastAsia="Calibri"/>
        </w:rPr>
        <w:t>(</w:t>
      </w:r>
      <w:r>
        <w:rPr>
          <w:rFonts w:eastAsia="Calibri"/>
          <w:i/>
          <w:iCs/>
        </w:rPr>
        <w:t>29</w:t>
      </w:r>
      <w:r w:rsidR="00B5128E">
        <w:rPr>
          <w:rFonts w:eastAsia="Calibri"/>
        </w:rPr>
        <w:t>,</w:t>
      </w:r>
      <w:r>
        <w:fldChar w:fldCharType="end"/>
      </w:r>
      <w:r w:rsidRPr="009670C3">
        <w:t xml:space="preserve"> </w:t>
      </w:r>
      <w:r>
        <w:rPr>
          <w:rFonts w:eastAsia="Calibri"/>
        </w:rPr>
        <w:fldChar w:fldCharType="begin"/>
      </w:r>
      <w:r>
        <w:rPr>
          <w:rFonts w:eastAsia="Calibri"/>
        </w:rPr>
        <w:instrText xml:space="preserve"> ADDIN PAPERS2_CITATIONS &lt;citation&gt;&lt;priority&gt;28&lt;/priority&gt;&lt;uuid&gt;B11964BB-3CA9-4650-BF79-B7AD132FCC32&lt;/uuid&gt;&lt;publications&gt;&lt;publication&gt;&lt;subtype&gt;400&lt;/subtype&gt;&lt;publisher&gt;Cold Spring Harbor Laboratory&lt;/publisher&gt;&lt;title&gt;Community assessment of cancer drug combination screens identifies strategies for synergy prediction&lt;/title&gt;&lt;url&gt;https://www.biorxiv.org/content/10.1101/200451v1.abstract&lt;/url&gt;&lt;publication_date&gt;99201710091200000000222000&lt;/publication_date&gt;&lt;uuid&gt;5A4BEEE2-B4FC-461D-8F11-6A734D31A41F&lt;/uuid&gt;&lt;type&gt;400&lt;/type&gt;&lt;doi&gt;10.1101/200451&lt;/doi&gt;&lt;startpage&gt;200451&lt;/startpage&gt;&lt;bundle&gt;&lt;publication&gt;&lt;title&gt;bioRxiv&lt;/title&gt;&lt;uuid&gt;A88317A2-51AA-4933-8164-01312C1E5771&lt;/uuid&gt;&lt;subtype&gt;-100&lt;/subtype&gt;&lt;publisher&gt;Cold Spring Harbor Laboratory&lt;/publisher&gt;&lt;type&gt;-100&lt;/type&gt;&lt;/publication&gt;&lt;/bundle&gt;&lt;authors&gt;&lt;author&gt;&lt;lastName&gt;Menden&lt;/lastName&gt;&lt;firstName&gt;Michael&lt;/firstName&gt;&lt;middleNames&gt;P&lt;/middleNames&gt;&lt;/author&gt;&lt;author&gt;&lt;lastName&gt;Wang&lt;/lastName&gt;&lt;firstName&gt;Dennis&lt;/firstName&gt;&lt;/author&gt;&lt;author&gt;&lt;lastName&gt;Guan&lt;/lastName&gt;&lt;firstName&gt;Yuanfang&lt;/firstName&gt;&lt;/author&gt;&lt;author&gt;&lt;lastName&gt;Mason&lt;/lastName&gt;&lt;firstName&gt;Michael&lt;/firstName&gt;&lt;/author&gt;&lt;author&gt;&lt;lastName&gt;Szalai&lt;/lastName&gt;&lt;firstName&gt;Bence&lt;/firstName&gt;&lt;/author&gt;&lt;author&gt;&lt;lastName&gt;Bulusu&lt;/lastName&gt;&lt;firstName&gt;Krishna&lt;/firstName&gt;&lt;middleNames&gt;C&lt;/middleNames&gt;&lt;/author&gt;&lt;author&gt;&lt;lastName&gt;Yu&lt;/lastName&gt;&lt;firstName&gt;Thomas&lt;/firstName&gt;&lt;/author&gt;&lt;author&gt;&lt;lastName&gt;Kang&lt;/lastName&gt;&lt;firstName&gt;Jaewoo&lt;/firstName&gt;&lt;/author&gt;&lt;author&gt;&lt;lastName&gt;Jeon&lt;/lastName&gt;&lt;firstName&gt;Minji&lt;/firstName&gt;&lt;/author&gt;&lt;author&gt;&lt;lastName&gt;Wolfinger&lt;/lastName&gt;&lt;firstName&gt;Russ&lt;/firstName&gt;&lt;/author&gt;&lt;author&gt;&lt;lastName&gt;Nguyen&lt;/lastName&gt;&lt;firstName&gt;Tin&lt;/firstName&gt;&lt;/author&gt;&lt;author&gt;&lt;lastName&gt;Zaslavskiy&lt;/lastName&gt;&lt;firstName&gt;Mikhail&lt;/firstName&gt;&lt;/author&gt;&lt;author&gt;&lt;lastName&gt;Jang SockAstraZeneca-Sanger Drug Combination DREAM Consortium&lt;/lastName&gt;&lt;firstName&gt;In&lt;/firstName&gt;&lt;/author&gt;&lt;author&gt;&lt;lastName&gt;Jang SockAstraZeneca-Sanger Drug Combination DREAM Consortium&lt;/lastName&gt;&lt;firstName&gt;In&lt;/firstName&gt;&lt;/author&gt;&lt;author&gt;&lt;lastName&gt;Ghazoui&lt;/lastName&gt;&lt;firstName&gt;Zara&lt;/firstName&gt;&lt;/author&gt;&lt;author&gt;&lt;lastName&gt;Ahsen&lt;/lastName&gt;&lt;firstName&gt;Mehmet&lt;/firstName&gt;&lt;middleNames&gt;Eren&lt;/middleNames&gt;&lt;/author&gt;&lt;author&gt;&lt;lastName&gt;Vogel&lt;/lastName&gt;&lt;firstName&gt;Robert&lt;/firstName&gt;&lt;/author&gt;&lt;author&gt;&lt;lastName&gt;Neto&lt;/lastName&gt;&lt;firstName&gt;Elias&lt;/firstName&gt;&lt;middleNames&gt;Chaibub&lt;/middleNames&gt;&lt;/author&gt;&lt;author&gt;&lt;lastName&gt;Norman&lt;/lastName&gt;&lt;firstName&gt;Thea&lt;/firstName&gt;&lt;/author&gt;&lt;author&gt;&lt;lastName&gt;Tang&lt;/lastName&gt;&lt;firstName&gt;Eric&lt;/firstName&gt;&lt;middleNames&gt;KY&lt;/middleNames&gt;&lt;/author&gt;&lt;author&gt;&lt;lastName&gt;Garnett&lt;/lastName&gt;&lt;firstName&gt;Mathew&lt;/firstName&gt;&lt;middleNames&gt;J&lt;/middleNames&gt;&lt;/author&gt;&lt;author&gt;&lt;lastName&gt;Veroli&lt;/lastName&gt;&lt;nonDroppingParticle&gt;Di&lt;/nonDroppingParticle&gt;&lt;firstName&gt;Giovanni&lt;/firstName&gt;&lt;/author&gt;&lt;author&gt;&lt;lastName&gt;Zwaan&lt;/lastName&gt;&lt;firstName&gt;Christian&lt;/firstName&gt;&lt;middleNames&gt;Michel&lt;/middleNames&gt;&lt;/author&gt;&lt;author&gt;&lt;lastName&gt;Fawell&lt;/lastName&gt;&lt;firstName&gt;Stephen&lt;/firstName&gt;&lt;/author&gt;&lt;author&gt;&lt;lastName&gt;Stolovitzky&lt;/lastName&gt;&lt;firstName&gt;Gustavo&lt;/firstName&gt;&lt;/author&gt;&lt;author&gt;&lt;lastName&gt;Guinney&lt;/lastName&gt;&lt;firstName&gt;Justin&lt;/firstName&gt;&lt;/author&gt;&lt;author&gt;&lt;lastName&gt;Dry&lt;/lastName&gt;&lt;firstName&gt;Jonathan&lt;/firstName&gt;&lt;middleNames&gt;R&lt;/middleNames&gt;&lt;/author&gt;&lt;author&gt;&lt;lastName&gt;Saez-Rodriguez&lt;/lastName&gt;&lt;firstName&gt;Julio&lt;/firstName&gt;&lt;/author&gt;&lt;/authors&gt;&lt;/publication&gt;&lt;/publications&gt;&lt;cites&gt;&lt;/cites&gt;&lt;/citation&gt;</w:instrText>
      </w:r>
      <w:r>
        <w:rPr>
          <w:rFonts w:eastAsia="Calibri"/>
        </w:rPr>
        <w:fldChar w:fldCharType="separate"/>
      </w:r>
      <w:r>
        <w:rPr>
          <w:rFonts w:eastAsia="Calibri"/>
          <w:i/>
          <w:iCs/>
        </w:rPr>
        <w:t>30</w:t>
      </w:r>
      <w:r>
        <w:rPr>
          <w:rFonts w:eastAsia="Calibri"/>
        </w:rPr>
        <w:t>)</w:t>
      </w:r>
      <w:r>
        <w:rPr>
          <w:rFonts w:eastAsia="Calibri"/>
        </w:rPr>
        <w:fldChar w:fldCharType="end"/>
      </w:r>
      <w:r>
        <w:t xml:space="preserve">. Some approaches leverage “supra-additive” effects of drugs used in combination </w:t>
      </w:r>
      <w:r>
        <w:fldChar w:fldCharType="begin"/>
      </w:r>
      <w:r>
        <w:instrText xml:space="preserve"> ADDIN PAPERS2_CITATIONS &lt;citation&gt;&lt;priority&gt;25&lt;/priority&gt;&lt;uuid&gt;3D4C151A-BC8D-4151-9CCB-3D6BDA6D6060&lt;/uuid&gt;&lt;publications&gt;&lt;publication&gt;&lt;subtype&gt;400&lt;/subtype&gt;&lt;publisher&gt;American Physiological Society Bethesda, MD&lt;/publisher&gt;&lt;title&gt;Understanding synergy.&lt;/title&gt;&lt;url&gt;https://journals.physiology.org/doi/abs/10.1152/ajpendo.00308.2012&lt;/url&gt;&lt;volume&gt;304&lt;/volume&gt;&lt;publication_date&gt;99201302011200000000222000&lt;/publication_date&gt;&lt;uuid&gt;9ECDE025-83B9-47E6-B66D-002C1ECE4568&lt;/uuid&gt;&lt;type&gt;400&lt;/type&gt;&lt;number&gt;3&lt;/number&gt;&lt;doi&gt;10.1152/ajpendo.00308.2012&lt;/doi&gt;&lt;institution&gt;ndg47@hotmail.com&lt;/institution&gt;&lt;startpage&gt;E237&lt;/startpage&gt;&lt;endpage&gt;53&lt;/endpage&gt;&lt;bundle&gt;&lt;publication&gt;&lt;title&gt;American journal of physiology. Endocrinology and metabolism&lt;/title&gt;&lt;uuid&gt;762EFAEB-6D7E-4E4E-BE66-8ACC93242284&lt;/uuid&gt;&lt;subtype&gt;-100&lt;/subtype&gt;&lt;type&gt;-100&lt;/type&gt;&lt;/publication&gt;&lt;/bundle&gt;&lt;authors&gt;&lt;author&gt;&lt;lastName&gt;Geary&lt;/lastName&gt;&lt;firstName&gt;Nori&lt;/firstName&gt;&lt;/author&gt;&lt;/authors&gt;&lt;/publication&gt;&lt;/publications&gt;&lt;cites&gt;&lt;/cites&gt;&lt;/citation&gt;</w:instrText>
      </w:r>
      <w:r>
        <w:fldChar w:fldCharType="separate"/>
      </w:r>
      <w:r>
        <w:rPr>
          <w:rFonts w:eastAsia="Calibri"/>
        </w:rPr>
        <w:t>(</w:t>
      </w:r>
      <w:r>
        <w:rPr>
          <w:rFonts w:eastAsia="Calibri"/>
          <w:i/>
          <w:iCs/>
        </w:rPr>
        <w:t>31</w:t>
      </w:r>
      <w:r w:rsidR="00B5128E">
        <w:rPr>
          <w:rFonts w:eastAsia="Calibri"/>
        </w:rPr>
        <w:t>,</w:t>
      </w:r>
      <w:r>
        <w:fldChar w:fldCharType="end"/>
      </w:r>
      <w:r w:rsidRPr="00AE07FF">
        <w:t xml:space="preserve"> </w:t>
      </w:r>
      <w:r>
        <w:fldChar w:fldCharType="begin"/>
      </w:r>
      <w:r>
        <w:instrText xml:space="preserve"> ADDIN PAPERS2_CITATIONS &lt;citation&gt;&lt;priority&gt;26&lt;/priority&gt;&lt;uuid&gt;341862AE-90F7-4152-9EC2-17F362C8D325&lt;/uuid&gt;&lt;publications&gt;&lt;publication&gt;&lt;subtype&gt;400&lt;/subtype&gt;&lt;publisher&gt;Nature Publishing Group&lt;/publisher&gt;&lt;title&gt;MuSyC is a consensus framework that unifies multi-drug synergy metrics for combinatorial drug discovery.&lt;/title&gt;&lt;url&gt;https://www.nature.com/articles/s41467-021-24789-z&lt;/url&gt;&lt;volume&gt;12&lt;/volume&gt;&lt;publication_date&gt;99202107291200000000222000&lt;/publication_date&gt;&lt;uuid&gt;85D28E73-F57E-4CC2-8E2E-959AA623454E&lt;/uuid&gt;&lt;type&gt;400&lt;/type&gt;&lt;accepted_date&gt;99202107071200000000222000&lt;/accepted_date&gt;&lt;number&gt;1&lt;/number&gt;&lt;submission_date&gt;99202101261200000000222000&lt;/submission_date&gt;&lt;doi&gt;10.1038/s41467-021-24789-z&lt;/doi&gt;&lt;institution&gt;Department of Physics, Pennsylvania State University, University Park, PA, USA.&lt;/institution&gt;&lt;startpage&gt;4607&lt;/startpage&gt;&lt;endpage&gt;16&lt;/endpage&gt;&lt;bundle&gt;&lt;publication&gt;&lt;title&gt;Nature communications&lt;/title&gt;&lt;uuid&gt;4C0A7D90-D869-4B09-BC94-545C7A809D03&lt;/uuid&gt;&lt;subtype&gt;-100&lt;/subtype&gt;&lt;publisher&gt;Nature Publishing Group&lt;/publisher&gt;&lt;type&gt;-100&lt;/type&gt;&lt;/publication&gt;&lt;/bundle&gt;&lt;authors&gt;&lt;author&gt;&lt;lastName&gt;Wooten&lt;/lastName&gt;&lt;firstName&gt;David&lt;/firstName&gt;&lt;middleNames&gt;J&lt;/middleNames&gt;&lt;/author&gt;&lt;author&gt;&lt;lastName&gt;Meyer&lt;/lastName&gt;&lt;firstName&gt;Christian&lt;/firstName&gt;&lt;middleNames&gt;T&lt;/middleNames&gt;&lt;/author&gt;&lt;author&gt;&lt;lastName&gt;Lubbock&lt;/lastName&gt;&lt;firstName&gt;Alexander&lt;/firstName&gt;&lt;middleNames&gt;L R&lt;/middleNames&gt;&lt;/author&gt;&lt;author&gt;&lt;lastName&gt;Quaranta&lt;/lastName&gt;&lt;firstName&gt;Vito&lt;/firstName&gt;&lt;/author&gt;&lt;author&gt;&lt;lastName&gt;Lopez&lt;/lastName&gt;&lt;firstName&gt;Carlos&lt;/firstName&gt;&lt;middleNames&gt;F&lt;/middleNames&gt;&lt;/author&gt;&lt;/authors&gt;&lt;/publication&gt;&lt;/publications&gt;&lt;cites&gt;&lt;/cites&gt;&lt;/citation&gt;</w:instrText>
      </w:r>
      <w:r>
        <w:fldChar w:fldCharType="separate"/>
      </w:r>
      <w:r>
        <w:rPr>
          <w:rFonts w:eastAsia="Calibri"/>
          <w:i/>
          <w:iCs/>
        </w:rPr>
        <w:t>32</w:t>
      </w:r>
      <w:r>
        <w:rPr>
          <w:rFonts w:eastAsia="Calibri"/>
        </w:rPr>
        <w:t>)</w:t>
      </w:r>
      <w:r>
        <w:fldChar w:fldCharType="end"/>
      </w:r>
      <w:r>
        <w:t>, yet these measurements often rely on complex and relatively costly high-throughput screens</w:t>
      </w:r>
      <w:r>
        <w:fldChar w:fldCharType="begin"/>
      </w:r>
      <w:r>
        <w:instrText xml:space="preserve"> ADDIN PAPERS2_CITATIONS &lt;citation&gt;&lt;priority&gt;27&lt;/priority&gt;&lt;uuid&gt;575CB73D-270C-487F-B0C5-AD9BB48F762C&lt;/uuid&gt;&lt;publications&gt;&lt;publication&gt;&lt;subtype&gt;400&lt;/subtype&gt;&lt;publisher&gt;Nature Publishing Group&lt;/publisher&gt;&lt;title&gt;Synergistic drug combinations for cancer identified in a CRISPR screen for pairwise genetic interactions&lt;/title&gt;&lt;url&gt;https://www.nature.com/articles/nbt.3834&lt;/url&gt;&lt;volume&gt;35&lt;/volume&gt;&lt;publication_date&gt;99201705011200000000222000&lt;/publication_date&gt;&lt;uuid&gt;FD0C1F8D-5F21-45CB-A61B-987EAF4B6F59&lt;/uuid&gt;&lt;type&gt;400&lt;/type&gt;&lt;number&gt;5&lt;/number&gt;&lt;doi&gt;10.1038/nbt.3834&lt;/doi&gt;&lt;startpage&gt;463&lt;/startpage&gt;&lt;endpage&gt;474&lt;/endpage&gt;&lt;bundle&gt;&lt;publication&gt;&lt;title&gt;Nature Biotechnology&lt;/title&gt;&lt;uuid&gt;CA958681-F85C-4DAD-9C84-FC16EC8F25DF&lt;/uuid&gt;&lt;subtype&gt;-100&lt;/subtype&gt;&lt;publisher&gt;Nature Research&lt;/publisher&gt;&lt;type&gt;-100&lt;/type&gt;&lt;/publication&gt;&lt;/bundle&gt;&lt;authors&gt;&lt;author&gt;&lt;lastName&gt;Han&lt;/lastName&gt;&lt;firstName&gt;Kyuho&lt;/firstName&gt;&lt;/author&gt;&lt;author&gt;&lt;lastName&gt;Jeng&lt;/lastName&gt;&lt;firstName&gt;Edwin&lt;/firstName&gt;&lt;middleNames&gt;E&lt;/middleNames&gt;&lt;/author&gt;&lt;author&gt;&lt;lastName&gt;Hess&lt;/lastName&gt;&lt;firstName&gt;Gaelen&lt;/firstName&gt;&lt;middleNames&gt;T&lt;/middleNames&gt;&lt;/author&gt;&lt;author&gt;&lt;lastName&gt;Morgens&lt;/lastName&gt;&lt;firstName&gt;David&lt;/firstName&gt;&lt;middleNames&gt;W&lt;/middleNames&gt;&lt;/author&gt;&lt;author&gt;&lt;lastName&gt;Li&lt;/lastName&gt;&lt;firstName&gt;Amy&lt;/firstName&gt;&lt;/author&gt;&lt;author&gt;&lt;lastName&gt;Bassik&lt;/lastName&gt;&lt;firstName&gt;Michael&lt;/firstName&gt;&lt;middleNames&gt;C&lt;/middleNames&gt;&lt;/author&gt;&lt;/authors&gt;&lt;/publication&gt;&lt;/publications&gt;&lt;cites&gt;&lt;/cites&gt;&lt;/citation&gt;</w:instrText>
      </w:r>
      <w:r>
        <w:fldChar w:fldCharType="separate"/>
      </w:r>
      <w:r>
        <w:rPr>
          <w:rFonts w:eastAsia="Calibri"/>
        </w:rPr>
        <w:t>(</w:t>
      </w:r>
      <w:r>
        <w:rPr>
          <w:rFonts w:eastAsia="Calibri"/>
          <w:i/>
          <w:iCs/>
        </w:rPr>
        <w:t>33</w:t>
      </w:r>
      <w:r>
        <w:rPr>
          <w:rFonts w:eastAsia="Calibri"/>
        </w:rPr>
        <w:t>)</w:t>
      </w:r>
      <w:r>
        <w:fldChar w:fldCharType="end"/>
      </w:r>
      <w:r>
        <w:t>.  While the performance of computational synergy prediction algorithms has increased, these effects have yielded little success in the clinic</w:t>
      </w:r>
      <w:r w:rsidRPr="009670C3">
        <w:t xml:space="preserve"> </w:t>
      </w:r>
      <w:r>
        <w:fldChar w:fldCharType="begin"/>
      </w:r>
      <w:r>
        <w:instrText xml:space="preserve"> ADDIN PAPERS2_CITATIONS &lt;citation&gt;&lt;priority&gt;28&lt;/priority&gt;&lt;uuid&gt;6453AD21-0DDF-48C5-B4A5-58FE5E4A5E56&lt;/uuid&gt;&lt;publications&gt;&lt;publication&gt;&lt;subtype&gt;400&lt;/subtype&gt;&lt;publisher&gt;Cold Spring Harbor Laboratory&lt;/publisher&gt;&lt;title&gt;Community assessment of cancer drug combination screens identifies strategies for synergy prediction&lt;/title&gt;&lt;url&gt;https://www.biorxiv.org/content/10.1101/200451v1.abstract&lt;/url&gt;&lt;publication_date&gt;99201710091200000000222000&lt;/publication_date&gt;&lt;uuid&gt;5A4BEEE2-B4FC-461D-8F11-6A734D31A41F&lt;/uuid&gt;&lt;type&gt;400&lt;/type&gt;&lt;doi&gt;10.1101/200451&lt;/doi&gt;&lt;startpage&gt;200451&lt;/startpage&gt;&lt;bundle&gt;&lt;publication&gt;&lt;title&gt;bioRxiv&lt;/title&gt;&lt;uuid&gt;A88317A2-51AA-4933-8164-01312C1E5771&lt;/uuid&gt;&lt;subtype&gt;-100&lt;/subtype&gt;&lt;publisher&gt;Cold Spring Harbor Laboratory&lt;/publisher&gt;&lt;type&gt;-100&lt;/type&gt;&lt;/publication&gt;&lt;/bundle&gt;&lt;authors&gt;&lt;author&gt;&lt;lastName&gt;Menden&lt;/lastName&gt;&lt;firstName&gt;Michael&lt;/firstName&gt;&lt;middleNames&gt;P&lt;/middleNames&gt;&lt;/author&gt;&lt;author&gt;&lt;lastName&gt;Wang&lt;/lastName&gt;&lt;firstName&gt;Dennis&lt;/firstName&gt;&lt;/author&gt;&lt;author&gt;&lt;lastName&gt;Guan&lt;/lastName&gt;&lt;firstName&gt;Yuanfang&lt;/firstName&gt;&lt;/author&gt;&lt;author&gt;&lt;lastName&gt;Mason&lt;/lastName&gt;&lt;firstName&gt;Michael&lt;/firstName&gt;&lt;/author&gt;&lt;author&gt;&lt;lastName&gt;Szalai&lt;/lastName&gt;&lt;firstName&gt;Bence&lt;/firstName&gt;&lt;/author&gt;&lt;author&gt;&lt;lastName&gt;Bulusu&lt;/lastName&gt;&lt;firstName&gt;Krishna&lt;/firstName&gt;&lt;middleNames&gt;C&lt;/middleNames&gt;&lt;/author&gt;&lt;author&gt;&lt;lastName&gt;Yu&lt;/lastName&gt;&lt;firstName&gt;Thomas&lt;/firstName&gt;&lt;/author&gt;&lt;author&gt;&lt;lastName&gt;Kang&lt;/lastName&gt;&lt;firstName&gt;Jaewoo&lt;/firstName&gt;&lt;/author&gt;&lt;author&gt;&lt;lastName&gt;Jeon&lt;/lastName&gt;&lt;firstName&gt;Minji&lt;/firstName&gt;&lt;/author&gt;&lt;author&gt;&lt;lastName&gt;Wolfinger&lt;/lastName&gt;&lt;firstName&gt;Russ&lt;/firstName&gt;&lt;/author&gt;&lt;author&gt;&lt;lastName&gt;Nguyen&lt;/lastName&gt;&lt;firstName&gt;Tin&lt;/firstName&gt;&lt;/author&gt;&lt;author&gt;&lt;lastName&gt;Zaslavskiy&lt;/lastName&gt;&lt;firstName&gt;Mikhail&lt;/firstName&gt;&lt;/author&gt;&lt;author&gt;&lt;lastName&gt;Jang SockAstraZeneca-Sanger Drug Combination DREAM Consortium&lt;/lastName&gt;&lt;firstName&gt;In&lt;/firstName&gt;&lt;/author&gt;&lt;author&gt;&lt;lastName&gt;Jang SockAstraZeneca-Sanger Drug Combination DREAM Consortium&lt;/lastName&gt;&lt;firstName&gt;In&lt;/firstName&gt;&lt;/author&gt;&lt;author&gt;&lt;lastName&gt;Ghazoui&lt;/lastName&gt;&lt;firstName&gt;Zara&lt;/firstName&gt;&lt;/author&gt;&lt;author&gt;&lt;lastName&gt;Ahsen&lt;/lastName&gt;&lt;firstName&gt;Mehmet&lt;/firstName&gt;&lt;middleNames&gt;Eren&lt;/middleNames&gt;&lt;/author&gt;&lt;author&gt;&lt;lastName&gt;Vogel&lt;/lastName&gt;&lt;firstName&gt;Robert&lt;/firstName&gt;&lt;/author&gt;&lt;author&gt;&lt;lastName&gt;Neto&lt;/lastName&gt;&lt;firstName&gt;Elias&lt;/firstName&gt;&lt;middleNames&gt;Chaibub&lt;/middleNames&gt;&lt;/author&gt;&lt;author&gt;&lt;lastName&gt;Norman&lt;/lastName&gt;&lt;firstName&gt;Thea&lt;/firstName&gt;&lt;/author&gt;&lt;author&gt;&lt;lastName&gt;Tang&lt;/lastName&gt;&lt;firstName&gt;Eric&lt;/firstName&gt;&lt;middleNames&gt;KY&lt;/middleNames&gt;&lt;/author&gt;&lt;author&gt;&lt;lastName&gt;Garnett&lt;/lastName&gt;&lt;firstName&gt;Mathew&lt;/firstName&gt;&lt;middleNames&gt;J&lt;/middleNames&gt;&lt;/author&gt;&lt;author&gt;&lt;lastName&gt;Veroli&lt;/lastName&gt;&lt;nonDroppingParticle&gt;Di&lt;/nonDroppingParticle&gt;&lt;firstName&gt;Giovanni&lt;/firstName&gt;&lt;/author&gt;&lt;author&gt;&lt;lastName&gt;Zwaan&lt;/lastName&gt;&lt;firstName&gt;Christian&lt;/firstName&gt;&lt;middleNames&gt;Michel&lt;/middleNames&gt;&lt;/author&gt;&lt;author&gt;&lt;lastName&gt;Fawell&lt;/lastName&gt;&lt;firstName&gt;Stephen&lt;/firstName&gt;&lt;/author&gt;&lt;author&gt;&lt;lastName&gt;Stolovitzky&lt;/lastName&gt;&lt;firstName&gt;Gustavo&lt;/firstName&gt;&lt;/author&gt;&lt;author&gt;&lt;lastName&gt;Guinney&lt;/lastName&gt;&lt;firstName&gt;Justin&lt;/firstName&gt;&lt;/author&gt;&lt;author&gt;&lt;lastName&gt;Dry&lt;/lastName&gt;&lt;firstName&gt;Jonathan&lt;/firstName&gt;&lt;middleNames&gt;R&lt;/middleNames&gt;&lt;/author&gt;&lt;author&gt;&lt;lastName&gt;Saez-Rodriguez&lt;/lastName&gt;&lt;firstName&gt;Julio&lt;/firstName&gt;&lt;/author&gt;&lt;/authors&gt;&lt;/publication&gt;&lt;/publications&gt;&lt;cites&gt;&lt;/cites&gt;&lt;/citation&gt;</w:instrText>
      </w:r>
      <w:r>
        <w:fldChar w:fldCharType="separate"/>
      </w:r>
      <w:r>
        <w:rPr>
          <w:rFonts w:eastAsia="Calibri"/>
        </w:rPr>
        <w:t>(</w:t>
      </w:r>
      <w:r>
        <w:rPr>
          <w:rFonts w:eastAsia="Calibri"/>
          <w:i/>
          <w:iCs/>
        </w:rPr>
        <w:t>30</w:t>
      </w:r>
      <w:r w:rsidR="00B5128E">
        <w:rPr>
          <w:rFonts w:eastAsia="Calibri"/>
        </w:rPr>
        <w:t>,</w:t>
      </w:r>
      <w:r>
        <w:fldChar w:fldCharType="end"/>
      </w:r>
      <w:r>
        <w:t xml:space="preserve"> </w:t>
      </w:r>
      <w:r>
        <w:fldChar w:fldCharType="begin"/>
      </w:r>
      <w:r>
        <w:instrText xml:space="preserve"> ADDIN PAPERS2_CITATIONS &lt;citation&gt;&lt;priority&gt;29&lt;/priority&gt;&lt;uuid&gt;55975FB0-C979-411F-B323-E4BCE39CBB39&lt;/uuid&gt;&lt;publications&gt;&lt;publication&gt;&lt;subtype&gt;400&lt;/subtype&gt;&lt;publisher&gt;Cell Press&lt;/publisher&gt;&lt;title&gt;Combination Cancer Therapy Can Confer Benefit via Patient-to-Patient Variability without Drug Additivity or Synergy&lt;/title&gt;&lt;url&gt;https://www.sciencedirect.com/science/article/pii/S0092867417313181&lt;/url&gt;&lt;volume&gt;171&lt;/volume&gt;&lt;publication_date&gt;99201712141200000000222000&lt;/publication_date&gt;&lt;uuid&gt;B8C710C6-15AC-46FC-9C8B-A5696AB7C4FF&lt;/uuid&gt;&lt;type&gt;400&lt;/type&gt;&lt;number&gt;7&lt;/number&gt;&lt;doi&gt;10.1016/j.cell.2017.11.009&lt;/doi&gt;&lt;startpage&gt;1678&lt;/startpage&gt;&lt;endpage&gt;1691.e13&lt;/endpage&gt;&lt;bundle&gt;&lt;publication&gt;&lt;title&gt;Cell&lt;/title&gt;&lt;uuid&gt;B178C03E-555B-4C55-B0F2-970B06F398E9&lt;/uuid&gt;&lt;subtype&gt;-100&lt;/subtype&gt;&lt;type&gt;-100&lt;/type&gt;&lt;/publication&gt;&lt;/bundle&gt;&lt;/publication&gt;&lt;/publications&gt;&lt;cites&gt;&lt;/cites&gt;&lt;/citation&gt;</w:instrText>
      </w:r>
      <w:r>
        <w:fldChar w:fldCharType="separate"/>
      </w:r>
      <w:r>
        <w:rPr>
          <w:rFonts w:eastAsia="Calibri"/>
          <w:i/>
          <w:iCs/>
        </w:rPr>
        <w:t>34</w:t>
      </w:r>
      <w:r>
        <w:rPr>
          <w:rFonts w:eastAsia="Calibri"/>
        </w:rPr>
        <w:t>)</w:t>
      </w:r>
      <w:r>
        <w:fldChar w:fldCharType="end"/>
      </w:r>
      <w:r>
        <w:t xml:space="preserve">. A community competition for synergy prediction noted that drugs with high experimental synergy contained drug targets in the same pathway and further, that well-predicted drug synergies occurred when combination drug targets were downstream of a shared protein </w:t>
      </w:r>
      <w:r>
        <w:fldChar w:fldCharType="begin"/>
      </w:r>
      <w:r>
        <w:instrText xml:space="preserve"> ADDIN PAPERS2_CITATIONS &lt;citation&gt;&lt;priority&gt;30&lt;/priority&gt;&lt;uuid&gt;D7B7898D-3002-4562-A7C3-1707AC14C418&lt;/uuid&gt;&lt;publications&gt;&lt;publication&gt;&lt;subtype&gt;400&lt;/subtype&gt;&lt;publisher&gt;Cold Spring Harbor Laboratory&lt;/publisher&gt;&lt;title&gt;Community assessment of cancer drug combination screens identifies strategies for synergy prediction&lt;/title&gt;&lt;url&gt;https://www.biorxiv.org/content/10.1101/200451v1.abstract&lt;/url&gt;&lt;publication_date&gt;99201710091200000000222000&lt;/publication_date&gt;&lt;uuid&gt;5A4BEEE2-B4FC-461D-8F11-6A734D31A41F&lt;/uuid&gt;&lt;type&gt;400&lt;/type&gt;&lt;doi&gt;10.1101/200451&lt;/doi&gt;&lt;startpage&gt;200451&lt;/startpage&gt;&lt;bundle&gt;&lt;publication&gt;&lt;title&gt;bioRxiv&lt;/title&gt;&lt;uuid&gt;A88317A2-51AA-4933-8164-01312C1E5771&lt;/uuid&gt;&lt;subtype&gt;-100&lt;/subtype&gt;&lt;publisher&gt;Cold Spring Harbor Laboratory&lt;/publisher&gt;&lt;type&gt;-100&lt;/type&gt;&lt;/publication&gt;&lt;/bundle&gt;&lt;authors&gt;&lt;author&gt;&lt;lastName&gt;Menden&lt;/lastName&gt;&lt;firstName&gt;Michael&lt;/firstName&gt;&lt;middleNames&gt;P&lt;/middleNames&gt;&lt;/author&gt;&lt;author&gt;&lt;lastName&gt;Wang&lt;/lastName&gt;&lt;firstName&gt;Dennis&lt;/firstName&gt;&lt;/author&gt;&lt;author&gt;&lt;lastName&gt;Guan&lt;/lastName&gt;&lt;firstName&gt;Yuanfang&lt;/firstName&gt;&lt;/author&gt;&lt;author&gt;&lt;lastName&gt;Mason&lt;/lastName&gt;&lt;firstName&gt;Michael&lt;/firstName&gt;&lt;/author&gt;&lt;author&gt;&lt;lastName&gt;Szalai&lt;/lastName&gt;&lt;firstName&gt;Bence&lt;/firstName&gt;&lt;/author&gt;&lt;author&gt;&lt;lastName&gt;Bulusu&lt;/lastName&gt;&lt;firstName&gt;Krishna&lt;/firstName&gt;&lt;middleNames&gt;C&lt;/middleNames&gt;&lt;/author&gt;&lt;author&gt;&lt;lastName&gt;Yu&lt;/lastName&gt;&lt;firstName&gt;Thomas&lt;/firstName&gt;&lt;/author&gt;&lt;author&gt;&lt;lastName&gt;Kang&lt;/lastName&gt;&lt;firstName&gt;Jaewoo&lt;/firstName&gt;&lt;/author&gt;&lt;author&gt;&lt;lastName&gt;Jeon&lt;/lastName&gt;&lt;firstName&gt;Minji&lt;/firstName&gt;&lt;/author&gt;&lt;author&gt;&lt;lastName&gt;Wolfinger&lt;/lastName&gt;&lt;firstName&gt;Russ&lt;/firstName&gt;&lt;/author&gt;&lt;author&gt;&lt;lastName&gt;Nguyen&lt;/lastName&gt;&lt;firstName&gt;Tin&lt;/firstName&gt;&lt;/author&gt;&lt;author&gt;&lt;lastName&gt;Zaslavskiy&lt;/lastName&gt;&lt;firstName&gt;Mikhail&lt;/firstName&gt;&lt;/author&gt;&lt;author&gt;&lt;lastName&gt;Jang SockAstraZeneca-Sanger Drug Combination DREAM Consortium&lt;/lastName&gt;&lt;firstName&gt;In&lt;/firstName&gt;&lt;/author&gt;&lt;author&gt;&lt;lastName&gt;Jang SockAstraZeneca-Sanger Drug Combination DREAM Consortium&lt;/lastName&gt;&lt;firstName&gt;In&lt;/firstName&gt;&lt;/author&gt;&lt;author&gt;&lt;lastName&gt;Ghazoui&lt;/lastName&gt;&lt;firstName&gt;Zara&lt;/firstName&gt;&lt;/author&gt;&lt;author&gt;&lt;lastName&gt;Ahsen&lt;/lastName&gt;&lt;firstName&gt;Mehmet&lt;/firstName&gt;&lt;middleNames&gt;Eren&lt;/middleNames&gt;&lt;/author&gt;&lt;author&gt;&lt;lastName&gt;Vogel&lt;/lastName&gt;&lt;firstName&gt;Robert&lt;/firstName&gt;&lt;/author&gt;&lt;author&gt;&lt;lastName&gt;Neto&lt;/lastName&gt;&lt;firstName&gt;Elias&lt;/firstName&gt;&lt;middleNames&gt;Chaibub&lt;/middleNames&gt;&lt;/author&gt;&lt;author&gt;&lt;lastName&gt;Norman&lt;/lastName&gt;&lt;firstName&gt;Thea&lt;/firstName&gt;&lt;/author&gt;&lt;author&gt;&lt;lastName&gt;Tang&lt;/lastName&gt;&lt;firstName&gt;Eric&lt;/firstName&gt;&lt;middleNames&gt;KY&lt;/middleNames&gt;&lt;/author&gt;&lt;author&gt;&lt;lastName&gt;Garnett&lt;/lastName&gt;&lt;firstName&gt;Mathew&lt;/firstName&gt;&lt;middleNames&gt;J&lt;/middleNames&gt;&lt;/author&gt;&lt;author&gt;&lt;lastName&gt;Veroli&lt;/lastName&gt;&lt;nonDroppingParticle&gt;Di&lt;/nonDroppingParticle&gt;&lt;firstName&gt;Giovanni&lt;/firstName&gt;&lt;/author&gt;&lt;author&gt;&lt;lastName&gt;Zwaan&lt;/lastName&gt;&lt;firstName&gt;Christian&lt;/firstName&gt;&lt;middleNames&gt;Michel&lt;/middleNames&gt;&lt;/author&gt;&lt;author&gt;&lt;lastName&gt;Fawell&lt;/lastName&gt;&lt;firstName&gt;Stephen&lt;/firstName&gt;&lt;/author&gt;&lt;author&gt;&lt;lastName&gt;Stolovitzky&lt;/lastName&gt;&lt;firstName&gt;Gustavo&lt;/firstName&gt;&lt;/author&gt;&lt;author&gt;&lt;lastName&gt;Guinney&lt;/lastName&gt;&lt;firstName&gt;Justin&lt;/firstName&gt;&lt;/author&gt;&lt;author&gt;&lt;lastName&gt;Dry&lt;/lastName&gt;&lt;firstName&gt;Jonathan&lt;/firstName&gt;&lt;middleNames&gt;R&lt;/middleNames&gt;&lt;/author&gt;&lt;author&gt;&lt;lastName&gt;Saez-Rodriguez&lt;/lastName&gt;&lt;firstName&gt;Julio&lt;/firstName&gt;&lt;/author&gt;&lt;/authors&gt;&lt;/publication&gt;&lt;/publications&gt;&lt;cites&gt;&lt;/cites&gt;&lt;/citation&gt;</w:instrText>
      </w:r>
      <w:r>
        <w:fldChar w:fldCharType="separate"/>
      </w:r>
      <w:r>
        <w:rPr>
          <w:rFonts w:eastAsia="Calibri"/>
        </w:rPr>
        <w:t>(</w:t>
      </w:r>
      <w:r>
        <w:rPr>
          <w:rFonts w:eastAsia="Calibri"/>
          <w:i/>
          <w:iCs/>
        </w:rPr>
        <w:t>30</w:t>
      </w:r>
      <w:r>
        <w:rPr>
          <w:rFonts w:eastAsia="Calibri"/>
        </w:rPr>
        <w:t>)</w:t>
      </w:r>
      <w:r>
        <w:fldChar w:fldCharType="end"/>
      </w:r>
      <w:r>
        <w:t xml:space="preserve">. While we used drug induced ADRs as the focus of this </w:t>
      </w:r>
      <w:r w:rsidR="00921181">
        <w:t>investigation</w:t>
      </w:r>
      <w:r>
        <w:t>, analysis of proteins downstream of drug targets could improve prediction of drug synergistic effects on disease outcomes.</w:t>
      </w:r>
    </w:p>
    <w:p w14:paraId="407A9B40" w14:textId="77777777" w:rsidR="005341F3" w:rsidRPr="00175CBB" w:rsidRDefault="009B1602" w:rsidP="000D3216">
      <w:pPr>
        <w:pStyle w:val="Paragraph"/>
        <w:spacing w:line="480" w:lineRule="auto"/>
        <w:ind w:firstLine="0"/>
        <w:rPr>
          <w:b/>
        </w:rPr>
      </w:pPr>
      <w:r w:rsidRPr="00175CBB">
        <w:rPr>
          <w:b/>
        </w:rPr>
        <w:t>MATERIALS AND METHODS</w:t>
      </w:r>
    </w:p>
    <w:p w14:paraId="675ECB96" w14:textId="77777777" w:rsidR="000311DF" w:rsidRDefault="000311DF" w:rsidP="000D3216">
      <w:pPr>
        <w:pStyle w:val="Paragraph"/>
        <w:spacing w:line="480" w:lineRule="auto"/>
        <w:ind w:firstLine="0"/>
        <w:rPr>
          <w:i/>
        </w:rPr>
      </w:pPr>
      <w:r>
        <w:rPr>
          <w:i/>
        </w:rPr>
        <w:t xml:space="preserve">Data and code availability </w:t>
      </w:r>
    </w:p>
    <w:p w14:paraId="3AB52E75" w14:textId="1D60AB77" w:rsidR="000311DF" w:rsidRDefault="000311DF" w:rsidP="000D3216">
      <w:pPr>
        <w:pStyle w:val="Paragraph"/>
        <w:spacing w:line="480" w:lineRule="auto"/>
        <w:ind w:firstLine="0"/>
        <w:rPr>
          <w:iCs/>
        </w:rPr>
      </w:pPr>
      <w:r>
        <w:rPr>
          <w:iCs/>
        </w:rPr>
        <w:t xml:space="preserve">The data and code used in this manuscript and referenced in this section are available at </w:t>
      </w:r>
      <w:hyperlink r:id="rId12" w:history="1">
        <w:r w:rsidRPr="00F21164">
          <w:rPr>
            <w:rStyle w:val="Hyperlink"/>
            <w:iCs/>
          </w:rPr>
          <w:t>https://github.com/jenwilson521/Designated-Medical-Event-Pathways</w:t>
        </w:r>
      </w:hyperlink>
      <w:r>
        <w:rPr>
          <w:iCs/>
        </w:rPr>
        <w:t>. Note: In the computational analysis, we used “DME” as shorthand for “A</w:t>
      </w:r>
      <w:r w:rsidR="00344076">
        <w:rPr>
          <w:iCs/>
        </w:rPr>
        <w:t>D</w:t>
      </w:r>
      <w:r>
        <w:rPr>
          <w:iCs/>
        </w:rPr>
        <w:t>R”. For transparency, we noted each script used for each analysis in the results section. Patient data from the electronic health record analysis is not made available to respect patient privacy and data use agreements.</w:t>
      </w:r>
    </w:p>
    <w:p w14:paraId="53C406BC" w14:textId="77777777" w:rsidR="000311DF" w:rsidRPr="00BA0038" w:rsidRDefault="000311DF" w:rsidP="000D3216">
      <w:pPr>
        <w:pStyle w:val="Paragraph"/>
        <w:spacing w:line="480" w:lineRule="auto"/>
        <w:ind w:firstLine="0"/>
        <w:rPr>
          <w:i/>
        </w:rPr>
      </w:pPr>
      <w:r w:rsidRPr="00BA0038">
        <w:rPr>
          <w:i/>
        </w:rPr>
        <w:lastRenderedPageBreak/>
        <w:t xml:space="preserve">Extracting </w:t>
      </w:r>
      <w:r>
        <w:rPr>
          <w:i/>
        </w:rPr>
        <w:t>adverse reaction phenotypes</w:t>
      </w:r>
      <w:r w:rsidRPr="00BA0038">
        <w:rPr>
          <w:i/>
        </w:rPr>
        <w:t xml:space="preserve"> from drug labels</w:t>
      </w:r>
    </w:p>
    <w:p w14:paraId="22433809" w14:textId="7213AF79" w:rsidR="000311DF" w:rsidRDefault="000311DF" w:rsidP="000D3216">
      <w:pPr>
        <w:pStyle w:val="Paragraph"/>
        <w:spacing w:line="480" w:lineRule="auto"/>
        <w:ind w:firstLine="0"/>
      </w:pPr>
      <w:r w:rsidRPr="00BA0038">
        <w:t xml:space="preserve">An algorithm was built using Linguamatics, a natural language processing software, to extract </w:t>
      </w:r>
      <w:r>
        <w:t xml:space="preserve">designated medical events (DMEs) (adverse </w:t>
      </w:r>
      <w:r w:rsidR="00B272F7">
        <w:t xml:space="preserve">drug </w:t>
      </w:r>
      <w:r>
        <w:t>reactions, A</w:t>
      </w:r>
      <w:r w:rsidR="00B272F7">
        <w:t>D</w:t>
      </w:r>
      <w:r>
        <w:t>R</w:t>
      </w:r>
      <w:r w:rsidRPr="00BA0038">
        <w:t>s</w:t>
      </w:r>
      <w:r>
        <w:t>)</w:t>
      </w:r>
      <w:r w:rsidRPr="00BA0038">
        <w:t xml:space="preserve"> as MedDRA Preferred Terms from the black box warning, warnings &amp; precautions, and adverse reactions sections of FDA product labels. All available FDA product labels (as of </w:t>
      </w:r>
      <w:r>
        <w:t>December 2017</w:t>
      </w:r>
      <w:r w:rsidRPr="00BA0038">
        <w:t xml:space="preserve">) were obtained from DailyMed and indexed in Linguamatics. For each </w:t>
      </w:r>
      <w:r>
        <w:t>A</w:t>
      </w:r>
      <w:r w:rsidR="00B272F7">
        <w:t>D</w:t>
      </w:r>
      <w:r>
        <w:t>R</w:t>
      </w:r>
      <w:r w:rsidRPr="00BA0038">
        <w:t xml:space="preserve">, the related MedDRA Preferred Term, </w:t>
      </w:r>
      <w:proofErr w:type="gramStart"/>
      <w:r w:rsidRPr="00BA0038">
        <w:t>Lower Level</w:t>
      </w:r>
      <w:proofErr w:type="gramEnd"/>
      <w:r w:rsidRPr="00BA0038">
        <w:t xml:space="preserve"> Term, and colloquial terms were searched (i.e., “SJS” was an additional term searched for “Stevens-Johnson syndrome”). Drugs with one or more </w:t>
      </w:r>
      <w:r>
        <w:t>A</w:t>
      </w:r>
      <w:r w:rsidR="00B272F7">
        <w:t>D</w:t>
      </w:r>
      <w:r>
        <w:t>R</w:t>
      </w:r>
      <w:r w:rsidRPr="00BA0038">
        <w:t>s in their product label were exported for analysis in PathFX.</w:t>
      </w:r>
      <w:r>
        <w:t xml:space="preserve"> The data from this analysis are included in </w:t>
      </w:r>
      <w:r w:rsidR="00527FCC" w:rsidRPr="00527FCC">
        <w:rPr>
          <w:i/>
          <w:iCs/>
        </w:rPr>
        <w:t>supp1_</w:t>
      </w:r>
      <w:r w:rsidRPr="00173842">
        <w:rPr>
          <w:i/>
          <w:iCs/>
        </w:rPr>
        <w:t>Drugs_labeled_for_AEs.txt</w:t>
      </w:r>
      <w:r>
        <w:t>.</w:t>
      </w:r>
    </w:p>
    <w:p w14:paraId="07C96DAA" w14:textId="77777777" w:rsidR="000311DF" w:rsidRPr="00BA0038" w:rsidRDefault="000311DF" w:rsidP="000D3216">
      <w:pPr>
        <w:pStyle w:val="Paragraph"/>
        <w:spacing w:line="480" w:lineRule="auto"/>
        <w:ind w:firstLine="0"/>
        <w:rPr>
          <w:i/>
        </w:rPr>
      </w:pPr>
      <w:r w:rsidRPr="00BA0038">
        <w:rPr>
          <w:i/>
        </w:rPr>
        <w:t xml:space="preserve">PathFX modeling of marketed drugs and identification of pathway associations to </w:t>
      </w:r>
      <w:r>
        <w:rPr>
          <w:i/>
        </w:rPr>
        <w:t>AR</w:t>
      </w:r>
      <w:r w:rsidRPr="00BA0038">
        <w:rPr>
          <w:i/>
        </w:rPr>
        <w:t>s</w:t>
      </w:r>
    </w:p>
    <w:p w14:paraId="49BDB9AE" w14:textId="0DD73354" w:rsidR="00491CC9" w:rsidRDefault="00491CC9" w:rsidP="000D3216">
      <w:pPr>
        <w:pStyle w:val="Paragraph"/>
        <w:spacing w:line="480" w:lineRule="auto"/>
        <w:ind w:firstLine="0"/>
        <w:rPr>
          <w:i/>
          <w:iCs/>
        </w:rPr>
      </w:pPr>
      <w:r w:rsidRPr="00BA0038">
        <w:t xml:space="preserve">To find pathway associations to </w:t>
      </w:r>
      <w:r>
        <w:t>ADR</w:t>
      </w:r>
      <w:r w:rsidRPr="00BA0038">
        <w:t xml:space="preserve">s, we </w:t>
      </w:r>
      <w:r>
        <w:t>used the</w:t>
      </w:r>
      <w:r w:rsidRPr="00BA0038">
        <w:t xml:space="preserve"> </w:t>
      </w:r>
      <w:r>
        <w:t xml:space="preserve">PathFX </w:t>
      </w:r>
      <w:proofErr w:type="gramStart"/>
      <w:r>
        <w:t>algorithm(</w:t>
      </w:r>
      <w:proofErr w:type="gramEnd"/>
      <w:r>
        <w:rPr>
          <w:rFonts w:eastAsiaTheme="minorHAnsi"/>
          <w:i/>
          <w:iCs/>
        </w:rPr>
        <w:t>8</w:t>
      </w:r>
      <w:r>
        <w:rPr>
          <w:rFonts w:eastAsiaTheme="minorHAnsi"/>
        </w:rPr>
        <w:t>)</w:t>
      </w:r>
      <w:r>
        <w:t xml:space="preserve"> to identify network relationships between drug targets and ADR-associated proteins.</w:t>
      </w:r>
      <w:r w:rsidR="00570964">
        <w:t xml:space="preserve"> Compared to other methods, PathFX used a data-driven approach to discover network associations,</w:t>
      </w:r>
      <w:r w:rsidR="00B272F7">
        <w:t xml:space="preserve"> </w:t>
      </w:r>
      <w:r w:rsidR="00570964">
        <w:t xml:space="preserve">the algorithm generated “white-box” predictions of drug associations, and demonstrated high specificity in predicting drug-ADR </w:t>
      </w:r>
      <w:proofErr w:type="gramStart"/>
      <w:r w:rsidR="00570964">
        <w:t>effects(</w:t>
      </w:r>
      <w:proofErr w:type="gramEnd"/>
      <w:r w:rsidR="00570964">
        <w:rPr>
          <w:rFonts w:eastAsiaTheme="minorHAnsi"/>
          <w:i/>
          <w:iCs/>
        </w:rPr>
        <w:t>8</w:t>
      </w:r>
      <w:r w:rsidR="00570964">
        <w:rPr>
          <w:rFonts w:eastAsiaTheme="minorHAnsi"/>
        </w:rPr>
        <w:t>).</w:t>
      </w:r>
      <w:r>
        <w:t xml:space="preserve"> We used</w:t>
      </w:r>
      <w:r w:rsidRPr="00BA0038">
        <w:t xml:space="preserve"> </w:t>
      </w:r>
      <w:r>
        <w:t>d</w:t>
      </w:r>
      <w:r w:rsidR="000311DF" w:rsidRPr="00BA0038">
        <w:t>rug targets from DrugBank</w:t>
      </w:r>
      <w:r w:rsidR="000311DF">
        <w:fldChar w:fldCharType="begin"/>
      </w:r>
      <w:r w:rsidR="000311DF">
        <w:instrText xml:space="preserve"> ADDIN PAPERS2_CITATIONS &lt;citation&gt;&lt;priority&gt;0&lt;/priority&gt;&lt;uuid&gt;E3924F0C-6E82-410B-8CA3-E84C7C4AC9D8&lt;/uuid&gt;&lt;publications&gt;&lt;publication&gt;&lt;subtype&gt;400&lt;/subtype&gt;&lt;title&gt;DrugBank: a comprehensive resource for in silico drug discovery and exploration.&lt;/title&gt;&lt;url&gt;https://academic.oup.com/nar/article-lookup/doi/10.1093/nar/gkj067&lt;/url&gt;&lt;volume&gt;34&lt;/volume&gt;&lt;publication_date&gt;99200601011200000000222000&lt;/publication_date&gt;&lt;uuid&gt;780804CB-0E39-4512-B910-F594F7FF587F&lt;/uuid&gt;&lt;type&gt;400&lt;/type&gt;&lt;number&gt;Database issue&lt;/number&gt;&lt;doi&gt;10.1093/nar/gkj067&lt;/doi&gt;&lt;institution&gt;Department of Computing Science, University of Alberta, Edmonton, AB, Canada T6G 2E8. david.wishart@ualberta.ca&lt;/institution&gt;&lt;startpage&gt;D668&lt;/startpage&gt;&lt;endpage&gt;72&lt;/endpage&gt;&lt;bundle&gt;&lt;publication&gt;&lt;title&gt;Nucleic Acids Research&lt;/title&gt;&lt;uuid&gt;77B9E7DD-0BF1-416E-99FA-12526CA70A29&lt;/uuid&gt;&lt;subtype&gt;-100&lt;/subtype&gt;&lt;publisher&gt;Oxford University Press&lt;/publisher&gt;&lt;type&gt;-100&lt;/type&gt;&lt;/publication&gt;&lt;/bundle&gt;&lt;authors&gt;&lt;author&gt;&lt;lastName&gt;Wishart&lt;/lastName&gt;&lt;firstName&gt;David&lt;/firstName&gt;&lt;middleNames&gt;S&lt;/middleNames&gt;&lt;/author&gt;&lt;author&gt;&lt;lastName&gt;Knox&lt;/lastName&gt;&lt;firstName&gt;Craig&lt;/firstName&gt;&lt;/author&gt;&lt;author&gt;&lt;lastName&gt;Guo&lt;/lastName&gt;&lt;firstName&gt;An&lt;/firstName&gt;&lt;middleNames&gt;Chi&lt;/middleNames&gt;&lt;/author&gt;&lt;author&gt;&lt;lastName&gt;Shrivastava&lt;/lastName&gt;&lt;firstName&gt;Savita&lt;/firstName&gt;&lt;/author&gt;&lt;author&gt;&lt;lastName&gt;Hassanali&lt;/lastName&gt;&lt;firstName&gt;Murtaza&lt;/firstName&gt;&lt;/author&gt;&lt;author&gt;&lt;lastName&gt;Stothard&lt;/lastName&gt;&lt;firstName&gt;Paul&lt;/firstName&gt;&lt;/author&gt;&lt;author&gt;&lt;lastName&gt;Chang&lt;/lastName&gt;&lt;firstName&gt;Zhan&lt;/firstName&gt;&lt;/author&gt;&lt;author&gt;&lt;lastName&gt;Woolsey&lt;/lastName&gt;&lt;firstName&gt;Jennifer&lt;/firstName&gt;&lt;/author&gt;&lt;/authors&gt;&lt;/publication&gt;&lt;/publications&gt;&lt;cites&gt;&lt;/cites&gt;&lt;/citation&gt;</w:instrText>
      </w:r>
      <w:r w:rsidR="000311DF">
        <w:fldChar w:fldCharType="separate"/>
      </w:r>
      <w:r w:rsidR="000311DF">
        <w:rPr>
          <w:rFonts w:eastAsiaTheme="minorHAnsi"/>
        </w:rPr>
        <w:t>(</w:t>
      </w:r>
      <w:r w:rsidR="000311DF">
        <w:rPr>
          <w:rFonts w:eastAsiaTheme="minorHAnsi"/>
          <w:i/>
          <w:iCs/>
        </w:rPr>
        <w:t>3</w:t>
      </w:r>
      <w:r w:rsidR="000311DF">
        <w:rPr>
          <w:rFonts w:eastAsiaTheme="minorHAnsi"/>
        </w:rPr>
        <w:t>)</w:t>
      </w:r>
      <w:r w:rsidR="000311DF">
        <w:fldChar w:fldCharType="end"/>
      </w:r>
      <w:r w:rsidR="000311DF" w:rsidRPr="00BA0038">
        <w:t xml:space="preserve"> </w:t>
      </w:r>
      <w:r w:rsidR="000311DF">
        <w:t xml:space="preserve">(version 5.1.0) </w:t>
      </w:r>
      <w:r w:rsidR="00D0498D">
        <w:t>as inputs to PathFX</w:t>
      </w:r>
      <w:r w:rsidR="000311DF" w:rsidRPr="00BA0038">
        <w:t xml:space="preserve">. </w:t>
      </w:r>
      <w:r>
        <w:t xml:space="preserve">This analysis yielded a dataset of drug-ADR associations and downstream proteins associated with ADRs from drug labels. A summary of the PathFX algorithm approach and detailed description of the analysis and results is included in the </w:t>
      </w:r>
      <w:r w:rsidRPr="00491CC9">
        <w:rPr>
          <w:i/>
          <w:iCs/>
        </w:rPr>
        <w:t xml:space="preserve">Supplemental </w:t>
      </w:r>
      <w:r>
        <w:rPr>
          <w:i/>
          <w:iCs/>
        </w:rPr>
        <w:t xml:space="preserve">Materials and </w:t>
      </w:r>
      <w:r w:rsidRPr="00491CC9">
        <w:rPr>
          <w:i/>
          <w:iCs/>
        </w:rPr>
        <w:t>Methods</w:t>
      </w:r>
      <w:r>
        <w:rPr>
          <w:i/>
          <w:iCs/>
        </w:rPr>
        <w:t>.</w:t>
      </w:r>
    </w:p>
    <w:p w14:paraId="15561933" w14:textId="32B429F7" w:rsidR="00D0498D" w:rsidRDefault="00D0498D" w:rsidP="000D3216">
      <w:pPr>
        <w:pStyle w:val="Paragraph"/>
        <w:spacing w:line="480" w:lineRule="auto"/>
        <w:ind w:firstLine="0"/>
        <w:rPr>
          <w:i/>
          <w:iCs/>
        </w:rPr>
      </w:pPr>
      <w:r w:rsidRPr="00D0498D">
        <w:rPr>
          <w:i/>
          <w:iCs/>
        </w:rPr>
        <w:t>Network meta</w:t>
      </w:r>
      <w:r>
        <w:rPr>
          <w:i/>
          <w:iCs/>
        </w:rPr>
        <w:t>-</w:t>
      </w:r>
      <w:r w:rsidRPr="00D0498D">
        <w:rPr>
          <w:i/>
          <w:iCs/>
        </w:rPr>
        <w:t>analysis</w:t>
      </w:r>
    </w:p>
    <w:p w14:paraId="44BAC4F8" w14:textId="055E67F3" w:rsidR="00D0498D" w:rsidRPr="00D0498D" w:rsidRDefault="00D0498D" w:rsidP="000D3216">
      <w:pPr>
        <w:pStyle w:val="Paragraph"/>
        <w:spacing w:line="480" w:lineRule="auto"/>
        <w:ind w:firstLine="0"/>
      </w:pPr>
      <w:r>
        <w:lastRenderedPageBreak/>
        <w:t>We next used meta-analysis to identify downstream proteins shared between drugs with the same ADR.</w:t>
      </w:r>
      <w:r w:rsidR="00B84CF2">
        <w:t xml:space="preserve"> PathFX contained multiple phenotypes associated with ADRs from a drug label (e.g., “</w:t>
      </w:r>
      <w:r w:rsidR="00B84CF2" w:rsidRPr="00BA0038">
        <w:t>Hemolytic anemia, nonspherocytic, due to glucose phosphate isomerase deficiency</w:t>
      </w:r>
      <w:r w:rsidR="00B84CF2">
        <w:t>” and “</w:t>
      </w:r>
      <w:r w:rsidR="00B84CF2" w:rsidRPr="00BA0038">
        <w:t>Hemolytic anemia</w:t>
      </w:r>
      <w:r w:rsidR="00B84CF2">
        <w:t xml:space="preserve">” were both considered as a prediction of “anemia”), and we collapsed these phenotypes when investigating each ADR. For a full description of the meta-analysis and pathways considered, please see the </w:t>
      </w:r>
      <w:r w:rsidR="00B84CF2" w:rsidRPr="00491CC9">
        <w:rPr>
          <w:i/>
          <w:iCs/>
        </w:rPr>
        <w:t xml:space="preserve">Supplemental </w:t>
      </w:r>
      <w:r w:rsidR="00B84CF2">
        <w:rPr>
          <w:i/>
          <w:iCs/>
        </w:rPr>
        <w:t xml:space="preserve">Materials and </w:t>
      </w:r>
      <w:r w:rsidR="00B84CF2" w:rsidRPr="00491CC9">
        <w:rPr>
          <w:i/>
          <w:iCs/>
        </w:rPr>
        <w:t>Methods</w:t>
      </w:r>
      <w:r w:rsidR="00B84CF2">
        <w:rPr>
          <w:i/>
          <w:iCs/>
        </w:rPr>
        <w:t>.</w:t>
      </w:r>
    </w:p>
    <w:p w14:paraId="73D35F36" w14:textId="77777777" w:rsidR="000311DF" w:rsidRPr="001E3793" w:rsidRDefault="000311DF" w:rsidP="000D3216">
      <w:pPr>
        <w:pStyle w:val="Paragraph"/>
        <w:spacing w:line="480" w:lineRule="auto"/>
        <w:ind w:firstLine="0"/>
        <w:rPr>
          <w:i/>
        </w:rPr>
      </w:pPr>
      <w:r w:rsidRPr="001E3793">
        <w:rPr>
          <w:i/>
        </w:rPr>
        <w:t xml:space="preserve">Network images and </w:t>
      </w:r>
      <w:r>
        <w:rPr>
          <w:i/>
        </w:rPr>
        <w:t>heatmaps</w:t>
      </w:r>
    </w:p>
    <w:p w14:paraId="192597B3" w14:textId="3B7B4800" w:rsidR="000311DF" w:rsidRPr="00344076" w:rsidRDefault="000311DF" w:rsidP="000D3216">
      <w:pPr>
        <w:pStyle w:val="Paragraph"/>
        <w:spacing w:line="480" w:lineRule="auto"/>
        <w:ind w:firstLine="0"/>
      </w:pPr>
      <w:r w:rsidRPr="001E3793">
        <w:t>To create network images, we wrote a custom python script for creating images with drugs oriented above drug-binding proteins and phenotypes.</w:t>
      </w:r>
      <w:r>
        <w:t xml:space="preserve"> The script used the merged networks created previously and created a layered array where drugs were plotted in the topmost layer, drug targets in the second layer, intermediate and downstream proteins in the third layer, and A</w:t>
      </w:r>
      <w:r w:rsidR="00344076">
        <w:t>D</w:t>
      </w:r>
      <w:r>
        <w:t>R phenotypes in the fourth, and bottom layer.</w:t>
      </w:r>
      <w:r w:rsidRPr="001E3793">
        <w:t xml:space="preserve"> All scripts are included in the ‘code’ folder of the directory. </w:t>
      </w:r>
      <w:r w:rsidRPr="00173842">
        <w:rPr>
          <w:i/>
          <w:iCs/>
        </w:rPr>
        <w:t xml:space="preserve">(/Code/ merge_networks_for_DMEs.ipynb </w:t>
      </w:r>
      <w:r w:rsidRPr="00173842">
        <w:t>and</w:t>
      </w:r>
      <w:r w:rsidRPr="00173842">
        <w:rPr>
          <w:i/>
          <w:iCs/>
        </w:rPr>
        <w:t xml:space="preserve"> /Code/ find_co_therapy_</w:t>
      </w:r>
      <w:proofErr w:type="gramStart"/>
      <w:r w:rsidRPr="00173842">
        <w:rPr>
          <w:i/>
          <w:iCs/>
        </w:rPr>
        <w:t>networks.ipynb</w:t>
      </w:r>
      <w:proofErr w:type="gramEnd"/>
      <w:r w:rsidRPr="001E3793">
        <w:t>).</w:t>
      </w:r>
    </w:p>
    <w:p w14:paraId="15708BF2" w14:textId="77777777" w:rsidR="000311DF" w:rsidRPr="00673A4F" w:rsidRDefault="000311DF" w:rsidP="000D3216">
      <w:pPr>
        <w:pStyle w:val="Paragraph"/>
        <w:spacing w:line="480" w:lineRule="auto"/>
        <w:ind w:firstLine="0"/>
      </w:pPr>
      <w:r w:rsidRPr="00673A4F">
        <w:rPr>
          <w:i/>
          <w:iCs/>
        </w:rPr>
        <w:t>Identifying novel co-therapies and determining directionality of effect</w:t>
      </w:r>
    </w:p>
    <w:p w14:paraId="19B58A8C" w14:textId="688C0A30" w:rsidR="000311DF" w:rsidRDefault="000311DF" w:rsidP="000D3216">
      <w:pPr>
        <w:pStyle w:val="Paragraph"/>
        <w:spacing w:line="480" w:lineRule="auto"/>
        <w:ind w:firstLine="0"/>
      </w:pPr>
      <w:r w:rsidRPr="00673A4F">
        <w:t>We again used drug-protein binding data from DrugBank to identify drugs that bound a</w:t>
      </w:r>
      <w:r>
        <w:t>n</w:t>
      </w:r>
      <w:r w:rsidRPr="00673A4F">
        <w:t xml:space="preserve"> </w:t>
      </w:r>
      <w:r>
        <w:t>A</w:t>
      </w:r>
      <w:r w:rsidR="00344076">
        <w:t>D</w:t>
      </w:r>
      <w:r>
        <w:t>R</w:t>
      </w:r>
      <w:r w:rsidRPr="00673A4F">
        <w:t xml:space="preserve"> pathway gene</w:t>
      </w:r>
      <w:r>
        <w:t xml:space="preserve"> (discovered previously)</w:t>
      </w:r>
      <w:r w:rsidRPr="00673A4F">
        <w:t xml:space="preserve"> and were not associated with a</w:t>
      </w:r>
      <w:r>
        <w:t>n</w:t>
      </w:r>
      <w:r w:rsidRPr="00673A4F">
        <w:t xml:space="preserve"> </w:t>
      </w:r>
      <w:r>
        <w:t>A</w:t>
      </w:r>
      <w:r w:rsidR="00344076">
        <w:t>D</w:t>
      </w:r>
      <w:r>
        <w:t>R</w:t>
      </w:r>
      <w:r w:rsidRPr="00673A4F">
        <w:t xml:space="preserve"> on their drug label </w:t>
      </w:r>
      <w:r w:rsidRPr="00733ABB">
        <w:rPr>
          <w:i/>
          <w:iCs/>
        </w:rPr>
        <w:t>(/Code/find_p</w:t>
      </w:r>
      <w:r>
        <w:rPr>
          <w:i/>
          <w:iCs/>
        </w:rPr>
        <w:t>redicted</w:t>
      </w:r>
      <w:r w:rsidRPr="00733ABB">
        <w:rPr>
          <w:i/>
          <w:iCs/>
        </w:rPr>
        <w:t>_cotherapies.ipynb</w:t>
      </w:r>
      <w:r>
        <w:rPr>
          <w:i/>
          <w:iCs/>
        </w:rPr>
        <w:t>, /char_data/</w:t>
      </w:r>
      <w:r w:rsidRPr="006B4021">
        <w:t xml:space="preserve"> </w:t>
      </w:r>
      <w:r w:rsidRPr="006B4021">
        <w:rPr>
          <w:i/>
          <w:iCs/>
        </w:rPr>
        <w:t>charac_novel_combinations.py</w:t>
      </w:r>
      <w:r>
        <w:rPr>
          <w:i/>
          <w:iCs/>
        </w:rPr>
        <w:t xml:space="preserve">, </w:t>
      </w:r>
      <w:r w:rsidRPr="004463B8">
        <w:t>and</w:t>
      </w:r>
      <w:r>
        <w:rPr>
          <w:i/>
          <w:iCs/>
        </w:rPr>
        <w:t xml:space="preserve"> /Code/</w:t>
      </w:r>
      <w:r w:rsidRPr="006B4021">
        <w:t xml:space="preserve"> </w:t>
      </w:r>
      <w:r w:rsidRPr="006B4021">
        <w:rPr>
          <w:i/>
          <w:iCs/>
        </w:rPr>
        <w:t>charac_novel_combos_using_int.py</w:t>
      </w:r>
      <w:r w:rsidRPr="00673A4F">
        <w:t>)</w:t>
      </w:r>
      <w:r>
        <w:t>. We tracked two types of A</w:t>
      </w:r>
      <w:r w:rsidR="00344076">
        <w:t>D</w:t>
      </w:r>
      <w:r>
        <w:t>R pathway genes: A</w:t>
      </w:r>
      <w:r w:rsidR="00344076">
        <w:t>D</w:t>
      </w:r>
      <w:r>
        <w:t>R-associated genes (ARPs) and proteins along shortest paths between drug targets and A</w:t>
      </w:r>
      <w:r w:rsidR="00344076">
        <w:t>D</w:t>
      </w:r>
      <w:r>
        <w:t xml:space="preserve">R-associated genes (SPs). </w:t>
      </w:r>
      <w:r w:rsidRPr="00673A4F">
        <w:t xml:space="preserve"> </w:t>
      </w:r>
      <w:r>
        <w:t xml:space="preserve">We predicted drug combinations for both types of network genes and these results are stored in </w:t>
      </w:r>
      <w:r w:rsidR="00527FCC">
        <w:rPr>
          <w:i/>
          <w:iCs/>
        </w:rPr>
        <w:t>supp5</w:t>
      </w:r>
      <w:r w:rsidRPr="00D95788">
        <w:rPr>
          <w:i/>
          <w:iCs/>
        </w:rPr>
        <w:t>_all_SP_drug_class_predictions.xlsx</w:t>
      </w:r>
      <w:r>
        <w:t xml:space="preserve"> (SPs) and </w:t>
      </w:r>
      <w:r w:rsidR="00527FCC">
        <w:rPr>
          <w:i/>
          <w:iCs/>
        </w:rPr>
        <w:t>supp6</w:t>
      </w:r>
      <w:r w:rsidRPr="00D95788">
        <w:rPr>
          <w:i/>
          <w:iCs/>
        </w:rPr>
        <w:t>_Assembled_sig_res_table.xlsx</w:t>
      </w:r>
      <w:r>
        <w:t xml:space="preserve"> (ARPs). The ARPs were a subset of the SP set.</w:t>
      </w:r>
    </w:p>
    <w:p w14:paraId="6490E936" w14:textId="17A586CA" w:rsidR="000311DF" w:rsidRDefault="000311DF" w:rsidP="000D3216">
      <w:pPr>
        <w:pStyle w:val="Paragraph"/>
        <w:spacing w:line="480" w:lineRule="auto"/>
        <w:ind w:firstLine="0"/>
      </w:pPr>
      <w:r>
        <w:lastRenderedPageBreak/>
        <w:t>We then sought separate data that could validate the predicted combination drug’s association to the A</w:t>
      </w:r>
      <w:r w:rsidR="00344076">
        <w:t>D</w:t>
      </w:r>
      <w:r>
        <w:t>R. We conducted a search of co-mentions of combination drugs and the A</w:t>
      </w:r>
      <w:r w:rsidR="00344076">
        <w:t>D</w:t>
      </w:r>
      <w:r>
        <w:t>Rs. The rule-based natural language processing tool Linguamatics was used to identify MEDLINE abstracts that contained sentences with co-mentions of drugs and A</w:t>
      </w:r>
      <w:r w:rsidR="00344076">
        <w:t>D</w:t>
      </w:r>
      <w:r>
        <w:t>Rs in December 2018, yielding a set of PubMed IDs for relevant abstracts.</w:t>
      </w:r>
      <w:r w:rsidRPr="00673A4F">
        <w:t xml:space="preserve"> This search yielded a set of PubMed IDs for abstracts that contained sentences that contained co-mentions of the </w:t>
      </w:r>
      <w:r>
        <w:t xml:space="preserve">combination </w:t>
      </w:r>
      <w:r w:rsidRPr="00673A4F">
        <w:t xml:space="preserve">drugs and </w:t>
      </w:r>
      <w:r>
        <w:t>A</w:t>
      </w:r>
      <w:r w:rsidR="00344076">
        <w:t>D</w:t>
      </w:r>
      <w:r>
        <w:t>R</w:t>
      </w:r>
      <w:r w:rsidRPr="00673A4F">
        <w:t xml:space="preserve"> phenotypes in the same sentence.</w:t>
      </w:r>
      <w:r>
        <w:t xml:space="preserve"> Importantly, this set did not contain drugs associated with A</w:t>
      </w:r>
      <w:r w:rsidR="00344076">
        <w:t>D</w:t>
      </w:r>
      <w:r>
        <w:t>Rs on their labels and the co-mentions of combination drugs and A</w:t>
      </w:r>
      <w:r w:rsidR="00344076">
        <w:t>D</w:t>
      </w:r>
      <w:r>
        <w:t>Rs were not used in the PathFX predictions. Co-mentions in PubMed could represent emerging effects or exceedingly rare relationships to A</w:t>
      </w:r>
      <w:r w:rsidR="00344076">
        <w:t>D</w:t>
      </w:r>
      <w:r>
        <w:t>Rs that would not have required the drug to have the A</w:t>
      </w:r>
      <w:r w:rsidR="00344076">
        <w:t>D</w:t>
      </w:r>
      <w:r>
        <w:t>R on its label.</w:t>
      </w:r>
      <w:r w:rsidRPr="00673A4F">
        <w:t xml:space="preserve"> We manually read the abstracts to confirm relevance of the abstract and infer directionality of the drug’s effect on the </w:t>
      </w:r>
      <w:r>
        <w:t>A</w:t>
      </w:r>
      <w:r w:rsidR="00344076">
        <w:t>D</w:t>
      </w:r>
      <w:r>
        <w:t>R</w:t>
      </w:r>
      <w:r w:rsidRPr="00673A4F">
        <w:t xml:space="preserve"> (e.g.</w:t>
      </w:r>
      <w:r w:rsidR="00344076">
        <w:t>,</w:t>
      </w:r>
      <w:r w:rsidRPr="00673A4F">
        <w:t xml:space="preserve"> aggravates the </w:t>
      </w:r>
      <w:r>
        <w:t>A</w:t>
      </w:r>
      <w:r w:rsidR="00344076">
        <w:t>D</w:t>
      </w:r>
      <w:r>
        <w:t>R</w:t>
      </w:r>
      <w:r w:rsidRPr="00673A4F">
        <w:t xml:space="preserve"> or mitigates) (</w:t>
      </w:r>
      <w:r w:rsidRPr="00733ABB">
        <w:rPr>
          <w:i/>
          <w:iCs/>
        </w:rPr>
        <w:t>/</w:t>
      </w:r>
      <w:r w:rsidRPr="004673A8">
        <w:rPr>
          <w:i/>
          <w:iCs/>
        </w:rPr>
        <w:t>data/ Drug-DME_Eval_final.xlsx</w:t>
      </w:r>
      <w:r w:rsidRPr="00673A4F">
        <w:t xml:space="preserve">). We summarized our predictions of potential drug interactions to create tables linking drugs with labeled </w:t>
      </w:r>
      <w:r>
        <w:t>A</w:t>
      </w:r>
      <w:r w:rsidR="00344076">
        <w:t>D</w:t>
      </w:r>
      <w:r>
        <w:t>R</w:t>
      </w:r>
      <w:r w:rsidRPr="00673A4F">
        <w:t xml:space="preserve">s to potential aggravating or preventative drug interacting partners </w:t>
      </w:r>
      <w:r w:rsidRPr="004673A8">
        <w:rPr>
          <w:i/>
          <w:iCs/>
        </w:rPr>
        <w:t xml:space="preserve">(/Code/summarize_predictions.ipynb, </w:t>
      </w:r>
      <w:r w:rsidR="00527FCC">
        <w:rPr>
          <w:i/>
          <w:iCs/>
        </w:rPr>
        <w:t>supp7</w:t>
      </w:r>
      <w:r w:rsidRPr="004673A8">
        <w:rPr>
          <w:i/>
          <w:iCs/>
        </w:rPr>
        <w:t>_summary_drug_interactions.xlsx</w:t>
      </w:r>
      <w:r w:rsidRPr="00673A4F">
        <w:t xml:space="preserve">). </w:t>
      </w:r>
    </w:p>
    <w:p w14:paraId="264F99FB" w14:textId="77777777" w:rsidR="000311DF" w:rsidRDefault="000311DF" w:rsidP="000D3216">
      <w:pPr>
        <w:pStyle w:val="Paragraph"/>
        <w:spacing w:line="480" w:lineRule="auto"/>
        <w:ind w:firstLine="0"/>
        <w:rPr>
          <w:i/>
          <w:iCs/>
        </w:rPr>
      </w:pPr>
      <w:r>
        <w:rPr>
          <w:i/>
          <w:iCs/>
        </w:rPr>
        <w:t>Considering hypothesis for clinical evaluation</w:t>
      </w:r>
    </w:p>
    <w:p w14:paraId="56D2F219" w14:textId="4FC7CB05" w:rsidR="000311DF" w:rsidRDefault="000311DF" w:rsidP="000D3216">
      <w:pPr>
        <w:pStyle w:val="Paragraph"/>
        <w:spacing w:line="480" w:lineRule="auto"/>
        <w:ind w:firstLine="0"/>
      </w:pPr>
      <w:r>
        <w:t>We leveraged data in TWOSIDES</w:t>
      </w:r>
      <w:r>
        <w:fldChar w:fldCharType="begin"/>
      </w:r>
      <w:r>
        <w:instrText xml:space="preserve"> ADDIN PAPERS2_CITATIONS &lt;citation&gt;&lt;priority&gt;4&lt;/priority&gt;&lt;uuid&gt;B3C6447A-A384-4D15-828B-9C2FE99A2B5C&lt;/uuid&gt;&lt;publications&gt;&lt;publication&gt;&lt;subtype&gt;400&lt;/subtype&gt;&lt;publisher&gt;American Association for the Advancement of Science&lt;/publisher&gt;&lt;title&gt;Data-driven prediction of drug effects and interactions.&lt;/title&gt;&lt;url&gt;http://stm.sciencemag.org/cgi/doi/10.1126/scitranslmed.3003377&lt;/url&gt;&lt;volume&gt;4&lt;/volume&gt;&lt;publication_date&gt;99201203141200000000222000&lt;/publication_date&gt;&lt;uuid&gt;8CE9453A-83E3-4095-8870-40D21C1828FC&lt;/uuid&gt;&lt;type&gt;400&lt;/type&gt;&lt;number&gt;125&lt;/number&gt;&lt;doi&gt;10.1126/scitranslmed.3003377&lt;/doi&gt;&lt;institution&gt;Biomedical Informatics Training Program, Stanford University, Stanford, CA 94305, USA.&lt;/institution&gt;&lt;startpage&gt;125ra31&lt;/startpage&gt;&lt;endpage&gt;125ra31&lt;/endpage&gt;&lt;bundle&gt;&lt;publication&gt;&lt;title&gt;Science translational medicine&lt;/title&gt;&lt;uuid&gt;975E568A-25A3-47B7-9363-C9CDBB169D35&lt;/uuid&gt;&lt;subtype&gt;-100&lt;/subtype&gt;&lt;publisher&gt;American Association for the Advancement of Science&lt;/publisher&gt;&lt;type&gt;-100&lt;/type&gt;&lt;/publication&gt;&lt;/bundle&gt;&lt;authors&gt;&lt;author&gt;&lt;lastName&gt;Tatonetti&lt;/lastName&gt;&lt;firstName&gt;Nicholas&lt;/firstName&gt;&lt;middleNames&gt;P&lt;/middleNames&gt;&lt;/author&gt;&lt;author&gt;&lt;lastName&gt;Ye&lt;/lastName&gt;&lt;firstName&gt;Patrick&lt;/firstName&gt;&lt;middleNames&gt;P&lt;/middleNames&gt;&lt;/author&gt;&lt;author&gt;&lt;lastName&gt;Daneshjou&lt;/lastName&gt;&lt;firstName&gt;Roxana&lt;/firstName&gt;&lt;/author&gt;&lt;author&gt;&lt;lastName&gt;Altman&lt;/lastName&gt;&lt;firstName&gt;Russ&lt;/firstName&gt;&lt;middleNames&gt;B&lt;/middleNames&gt;&lt;/author&gt;&lt;/authors&gt;&lt;/publication&gt;&lt;/publications&gt;&lt;cites&gt;&lt;/cites&gt;&lt;/citation&gt;</w:instrText>
      </w:r>
      <w:r>
        <w:fldChar w:fldCharType="separate"/>
      </w:r>
      <w:r>
        <w:rPr>
          <w:rFonts w:eastAsiaTheme="minorHAnsi"/>
        </w:rPr>
        <w:t>(</w:t>
      </w:r>
      <w:r>
        <w:rPr>
          <w:rFonts w:eastAsiaTheme="minorHAnsi"/>
          <w:i/>
          <w:iCs/>
        </w:rPr>
        <w:t>18</w:t>
      </w:r>
      <w:r>
        <w:rPr>
          <w:rFonts w:eastAsiaTheme="minorHAnsi"/>
        </w:rPr>
        <w:t>)</w:t>
      </w:r>
      <w:r>
        <w:fldChar w:fldCharType="end"/>
      </w:r>
      <w:r>
        <w:t xml:space="preserve"> as a filter for predicted drug combinations. TWOSIDES used data from the FDA Adverse Event Reporting (FAERs) system for identifying adverse outcomes that were statistically associated with combinations of drugs. We searched TWOSIDES for our predicted combinations to assess </w:t>
      </w:r>
      <w:r w:rsidR="00D0498D">
        <w:t>whether</w:t>
      </w:r>
      <w:r>
        <w:t xml:space="preserve"> drug combinations were observed clinically and to get an estimate of the potential effect size of a drug combination on an adverse outcome. We used the scripts </w:t>
      </w:r>
      <w:r w:rsidRPr="00CB425D">
        <w:rPr>
          <w:i/>
          <w:iCs/>
        </w:rPr>
        <w:t>/char_data</w:t>
      </w:r>
      <w:r w:rsidRPr="00733ABB">
        <w:rPr>
          <w:i/>
          <w:iCs/>
        </w:rPr>
        <w:t>/</w:t>
      </w:r>
      <w:r w:rsidRPr="00CB425D">
        <w:rPr>
          <w:i/>
          <w:iCs/>
        </w:rPr>
        <w:t>charac_novel_combinations.py</w:t>
      </w:r>
      <w:r>
        <w:t xml:space="preserve"> and </w:t>
      </w:r>
      <w:r>
        <w:rPr>
          <w:i/>
          <w:iCs/>
        </w:rPr>
        <w:t>/Code/</w:t>
      </w:r>
      <w:r w:rsidRPr="006B4021">
        <w:t xml:space="preserve"> </w:t>
      </w:r>
      <w:r w:rsidRPr="006B4021">
        <w:rPr>
          <w:i/>
          <w:iCs/>
        </w:rPr>
        <w:t>charac_novel_combos_using_int.py</w:t>
      </w:r>
      <w:r>
        <w:t xml:space="preserve"> to investigate if TWOSIDE</w:t>
      </w:r>
      <w:r w:rsidR="00344076">
        <w:t>S</w:t>
      </w:r>
      <w:r>
        <w:t xml:space="preserve"> supported our predicted drug </w:t>
      </w:r>
      <w:r>
        <w:lastRenderedPageBreak/>
        <w:t>combinations for ARPs and SPs. We leveraged drug synonyms from DrugBank (</w:t>
      </w:r>
      <w:r>
        <w:rPr>
          <w:i/>
          <w:iCs/>
        </w:rPr>
        <w:t>contained in /data/</w:t>
      </w:r>
      <w:r w:rsidRPr="00CB425D">
        <w:rPr>
          <w:i/>
          <w:iCs/>
        </w:rPr>
        <w:t>drugbank_vocabulary.csv</w:t>
      </w:r>
      <w:r>
        <w:t xml:space="preserve">) to find match drug combinations from TWOSIDES with our predicted DDIs. We later filtered drug combinations that overlapped from our predictions and TWOSIDES if the predicted ARs were synonymous. </w:t>
      </w:r>
    </w:p>
    <w:p w14:paraId="759E8098" w14:textId="1B7800D6" w:rsidR="000311DF" w:rsidRPr="00CB425D" w:rsidRDefault="000311DF" w:rsidP="000D3216">
      <w:pPr>
        <w:pStyle w:val="Paragraph"/>
        <w:spacing w:line="480" w:lineRule="auto"/>
        <w:ind w:firstLine="0"/>
      </w:pPr>
      <w:r>
        <w:t>We next aggregated predicted DDIs by network class. We used drug-drug-network protein-A</w:t>
      </w:r>
      <w:r w:rsidR="00344076">
        <w:t>D</w:t>
      </w:r>
      <w:r>
        <w:t xml:space="preserve">R data from </w:t>
      </w:r>
      <w:r>
        <w:rPr>
          <w:i/>
          <w:iCs/>
        </w:rPr>
        <w:t>/data</w:t>
      </w:r>
      <w:r w:rsidRPr="00CB425D">
        <w:rPr>
          <w:i/>
          <w:iCs/>
        </w:rPr>
        <w:t>/cotherapy/potential_co_therapies.xlsx</w:t>
      </w:r>
      <w:r>
        <w:rPr>
          <w:i/>
          <w:iCs/>
        </w:rPr>
        <w:t xml:space="preserve"> </w:t>
      </w:r>
      <w:r>
        <w:t xml:space="preserve">and the filtered drug-drug combinations from TWOSIDES to generate predictions for our expanded observational studies. These predictions are contained in </w:t>
      </w:r>
      <w:r w:rsidRPr="00CB425D">
        <w:t>/</w:t>
      </w:r>
      <w:r w:rsidRPr="00CB425D">
        <w:rPr>
          <w:i/>
          <w:iCs/>
        </w:rPr>
        <w:t xml:space="preserve">char_data/network_mechanisms_for_ehr_ml.xlsx </w:t>
      </w:r>
      <w:r>
        <w:t xml:space="preserve">and are summarized in </w:t>
      </w:r>
      <w:r w:rsidRPr="00CB425D">
        <w:rPr>
          <w:b/>
          <w:bCs/>
        </w:rPr>
        <w:t>Table S6</w:t>
      </w:r>
      <w:r>
        <w:t>.</w:t>
      </w:r>
    </w:p>
    <w:p w14:paraId="342B3BF1" w14:textId="20E16A2F" w:rsidR="000311DF" w:rsidRDefault="000311DF" w:rsidP="000D3216">
      <w:pPr>
        <w:pStyle w:val="Paragraph"/>
        <w:spacing w:line="480" w:lineRule="auto"/>
        <w:ind w:firstLine="0"/>
        <w:rPr>
          <w:i/>
          <w:iCs/>
        </w:rPr>
      </w:pPr>
      <w:r>
        <w:rPr>
          <w:i/>
          <w:iCs/>
        </w:rPr>
        <w:t xml:space="preserve">Novel observation studies </w:t>
      </w:r>
      <w:r w:rsidR="00344076">
        <w:rPr>
          <w:i/>
          <w:iCs/>
        </w:rPr>
        <w:t>using the Optum Clinformatics Dataset</w:t>
      </w:r>
    </w:p>
    <w:p w14:paraId="04501A47" w14:textId="62CE7D56" w:rsidR="000311DF" w:rsidRPr="00EC474C" w:rsidRDefault="00344076" w:rsidP="000D3216">
      <w:pPr>
        <w:pStyle w:val="Paragraph"/>
        <w:spacing w:line="480" w:lineRule="auto"/>
        <w:ind w:firstLine="0"/>
        <w:rPr>
          <w:i/>
          <w:iCs/>
        </w:rPr>
      </w:pPr>
      <w:r>
        <w:t xml:space="preserve">We pursued 60 novel observational studies using the Optum </w:t>
      </w:r>
      <w:r w:rsidRPr="00344076">
        <w:t>Clinformatics</w:t>
      </w:r>
      <w:r>
        <w:t xml:space="preserve"> dataset</w:t>
      </w:r>
      <w:r w:rsidR="004057DD">
        <w:t xml:space="preserve"> using best practices for propensity matching patients to control confounding. Importantly, we used a deidentified dataset that did not require IRB approval. A full description of the dataset and methods are provided in the </w:t>
      </w:r>
      <w:r w:rsidR="004057DD">
        <w:rPr>
          <w:i/>
          <w:iCs/>
        </w:rPr>
        <w:t>Supplemental Materials and Methods.</w:t>
      </w:r>
    </w:p>
    <w:p w14:paraId="0DBEE5EA" w14:textId="6EE28D35" w:rsidR="008573F1" w:rsidRPr="00175CBB" w:rsidRDefault="008573F1" w:rsidP="000D3216">
      <w:pPr>
        <w:pStyle w:val="Paragraph"/>
        <w:spacing w:line="480" w:lineRule="auto"/>
        <w:ind w:firstLine="0"/>
        <w:rPr>
          <w:b/>
        </w:rPr>
      </w:pPr>
      <w:r w:rsidRPr="00175CBB">
        <w:rPr>
          <w:b/>
        </w:rPr>
        <w:t>Supplementary Materials</w:t>
      </w:r>
    </w:p>
    <w:p w14:paraId="2847DEED" w14:textId="524746C6" w:rsidR="00C917E9" w:rsidRDefault="008573F1" w:rsidP="000D3216">
      <w:pPr>
        <w:pStyle w:val="Paragraph"/>
        <w:spacing w:line="480" w:lineRule="auto"/>
        <w:ind w:firstLine="0"/>
      </w:pPr>
      <w:r w:rsidRPr="00175CBB">
        <w:t>Materials and Methods</w:t>
      </w:r>
    </w:p>
    <w:p w14:paraId="15F95946" w14:textId="77777777" w:rsidR="000D3216" w:rsidRPr="000E4149" w:rsidRDefault="000D3216" w:rsidP="000D3216">
      <w:pPr>
        <w:pStyle w:val="Paragraph"/>
        <w:spacing w:line="480" w:lineRule="auto"/>
        <w:ind w:firstLine="0"/>
        <w:rPr>
          <w:i/>
          <w:iCs/>
        </w:rPr>
      </w:pPr>
      <w:r>
        <w:rPr>
          <w:i/>
          <w:iCs/>
        </w:rPr>
        <w:t>Summary of PathFX analysis</w:t>
      </w:r>
    </w:p>
    <w:p w14:paraId="6BFB0E00" w14:textId="4045B3B4" w:rsidR="000D3216" w:rsidRDefault="000D3216" w:rsidP="000D3216">
      <w:pPr>
        <w:pStyle w:val="Paragraph"/>
        <w:spacing w:line="480" w:lineRule="auto"/>
        <w:ind w:firstLine="0"/>
        <w:rPr>
          <w:i/>
          <w:iCs/>
        </w:rPr>
      </w:pPr>
      <w:r>
        <w:rPr>
          <w:i/>
          <w:iCs/>
        </w:rPr>
        <w:t xml:space="preserve">Application of PathFX to understand drug-ADR relationships mediated by downstream proteins </w:t>
      </w:r>
    </w:p>
    <w:p w14:paraId="4D0BE3BF" w14:textId="13D8DE08" w:rsidR="000D3216" w:rsidRDefault="000D3216" w:rsidP="000D3216">
      <w:pPr>
        <w:pStyle w:val="Paragraph"/>
        <w:spacing w:line="480" w:lineRule="auto"/>
        <w:ind w:firstLine="0"/>
        <w:rPr>
          <w:i/>
          <w:iCs/>
        </w:rPr>
      </w:pPr>
      <w:r>
        <w:rPr>
          <w:i/>
        </w:rPr>
        <w:t xml:space="preserve">Extended explanation of network meta-analysis </w:t>
      </w:r>
    </w:p>
    <w:p w14:paraId="76A9FCD8" w14:textId="10E2BDE0" w:rsidR="004057DD" w:rsidRDefault="004057DD" w:rsidP="000D3216">
      <w:pPr>
        <w:pStyle w:val="Paragraph"/>
        <w:spacing w:line="480" w:lineRule="auto"/>
        <w:ind w:firstLine="0"/>
        <w:rPr>
          <w:i/>
          <w:iCs/>
        </w:rPr>
      </w:pPr>
      <w:r>
        <w:rPr>
          <w:i/>
          <w:iCs/>
        </w:rPr>
        <w:t xml:space="preserve">Electronic Health Record Dataset: Optum Clinformatics Data Mart 7.0 </w:t>
      </w:r>
    </w:p>
    <w:p w14:paraId="62E7CB69" w14:textId="77777777" w:rsidR="004057DD" w:rsidRPr="00974C70" w:rsidRDefault="004057DD" w:rsidP="000D3216">
      <w:pPr>
        <w:pStyle w:val="Paragraph"/>
        <w:spacing w:line="480" w:lineRule="auto"/>
        <w:ind w:firstLine="0"/>
        <w:rPr>
          <w:i/>
          <w:iCs/>
        </w:rPr>
      </w:pPr>
      <w:r>
        <w:rPr>
          <w:i/>
          <w:iCs/>
        </w:rPr>
        <w:t>Novel observational study for assessing aspirin and albuterol combinations using CohortMethod</w:t>
      </w:r>
    </w:p>
    <w:p w14:paraId="0C7ACBB7" w14:textId="77777777" w:rsidR="004057DD" w:rsidRPr="00974C70" w:rsidRDefault="004057DD" w:rsidP="000D3216">
      <w:pPr>
        <w:pStyle w:val="Paragraph"/>
        <w:spacing w:line="480" w:lineRule="auto"/>
        <w:ind w:firstLine="0"/>
        <w:rPr>
          <w:i/>
          <w:iCs/>
        </w:rPr>
      </w:pPr>
      <w:r>
        <w:rPr>
          <w:i/>
          <w:iCs/>
        </w:rPr>
        <w:lastRenderedPageBreak/>
        <w:t>Novel observational studies for additional network predictions</w:t>
      </w:r>
    </w:p>
    <w:p w14:paraId="3432FBEB" w14:textId="22F73739" w:rsidR="003957E5" w:rsidRPr="003957E5" w:rsidRDefault="003957E5" w:rsidP="000D3216">
      <w:pPr>
        <w:pStyle w:val="SMHeading"/>
        <w:spacing w:before="0" w:after="0" w:line="480" w:lineRule="auto"/>
        <w:rPr>
          <w:b w:val="0"/>
          <w:bCs w:val="0"/>
        </w:rPr>
      </w:pPr>
      <w:r w:rsidRPr="003957E5">
        <w:rPr>
          <w:b w:val="0"/>
          <w:bCs w:val="0"/>
        </w:rPr>
        <w:t>Fig. S1. Attrition diagram after performing patient matching in sepsis study.</w:t>
      </w:r>
    </w:p>
    <w:p w14:paraId="7917F48C" w14:textId="01CA9B72" w:rsidR="008573F1" w:rsidRDefault="008573F1" w:rsidP="000D3216">
      <w:pPr>
        <w:pStyle w:val="Paragraph"/>
        <w:spacing w:line="480" w:lineRule="auto"/>
        <w:ind w:firstLine="0"/>
      </w:pPr>
      <w:r w:rsidRPr="003957E5">
        <w:t xml:space="preserve">Fig. S2. </w:t>
      </w:r>
      <w:r w:rsidR="00090175" w:rsidRPr="00E538B1">
        <w:t>Attrition diagram after performing patient matching in pancreatitis study</w:t>
      </w:r>
      <w:r w:rsidRPr="003957E5">
        <w:t>.</w:t>
      </w:r>
    </w:p>
    <w:p w14:paraId="7C0F3521" w14:textId="54BA2347" w:rsidR="003957E5" w:rsidRDefault="003957E5" w:rsidP="000D3216">
      <w:pPr>
        <w:pStyle w:val="Paragraph"/>
        <w:spacing w:line="480" w:lineRule="auto"/>
        <w:ind w:firstLine="0"/>
        <w:rPr>
          <w:b/>
          <w:bCs/>
        </w:rPr>
      </w:pPr>
      <w:r w:rsidRPr="005E19D1">
        <w:t>Fig</w:t>
      </w:r>
      <w:r w:rsidR="00090175">
        <w:t>.</w:t>
      </w:r>
      <w:r w:rsidRPr="005E19D1">
        <w:t xml:space="preserve"> S3.</w:t>
      </w:r>
      <w:r>
        <w:t xml:space="preserve"> Cox coefficients measured for 21 of the 58 predicted class effects</w:t>
      </w:r>
      <w:r>
        <w:rPr>
          <w:b/>
          <w:bCs/>
        </w:rPr>
        <w:t>.</w:t>
      </w:r>
    </w:p>
    <w:p w14:paraId="2BEB57F3" w14:textId="7E99C0D8" w:rsidR="001A2627" w:rsidRPr="003957E5" w:rsidRDefault="001A2627" w:rsidP="000D3216">
      <w:pPr>
        <w:pStyle w:val="Paragraph"/>
        <w:spacing w:line="480" w:lineRule="auto"/>
        <w:ind w:firstLine="0"/>
      </w:pPr>
      <w:r w:rsidRPr="001A2627">
        <w:t>Fig. S4.</w:t>
      </w:r>
      <w:r>
        <w:rPr>
          <w:b/>
          <w:bCs/>
        </w:rPr>
        <w:t xml:space="preserve"> </w:t>
      </w:r>
      <w:r>
        <w:t>Changes in the cox coefficient for 8 predicted classes with combination drugs compared to without the combination drug.</w:t>
      </w:r>
    </w:p>
    <w:p w14:paraId="56F2AD3B" w14:textId="2F330974" w:rsidR="003957E5" w:rsidRPr="003957E5" w:rsidRDefault="003957E5" w:rsidP="000D3216">
      <w:pPr>
        <w:pStyle w:val="Refhead"/>
        <w:spacing w:line="480" w:lineRule="auto"/>
        <w:rPr>
          <w:b w:val="0"/>
          <w:bCs w:val="0"/>
        </w:rPr>
      </w:pPr>
      <w:r w:rsidRPr="003957E5">
        <w:rPr>
          <w:b w:val="0"/>
          <w:bCs w:val="0"/>
        </w:rPr>
        <w:t xml:space="preserve">Table S1. Predicted drug-drug-ADRs with PRRs reported in TWOSIDES </w:t>
      </w:r>
      <w:r w:rsidRPr="003957E5">
        <w:rPr>
          <w:b w:val="0"/>
          <w:bCs w:val="0"/>
        </w:rPr>
        <w:fldChar w:fldCharType="begin"/>
      </w:r>
      <w:r w:rsidRPr="003957E5">
        <w:rPr>
          <w:b w:val="0"/>
          <w:bCs w:val="0"/>
        </w:rPr>
        <w:instrText xml:space="preserve"> ADDIN PAPERS2_CITATIONS &lt;citation&gt;&lt;priority&gt;8&lt;/priority&gt;&lt;uuid&gt;56DADD34-41B8-4B65-8553-736E549F55A4&lt;/uuid&gt;&lt;publications&gt;&lt;publication&gt;&lt;subtype&gt;400&lt;/subtype&gt;&lt;publisher&gt;American Association for the Advancement of Science&lt;/publisher&gt;&lt;title&gt;Data-driven prediction of drug effects and interactions.&lt;/title&gt;&lt;url&gt;http://stm.sciencemag.org/cgi/doi/10.1126/scitranslmed.3003377&lt;/url&gt;&lt;volume&gt;4&lt;/volume&gt;&lt;publication_date&gt;99201203141200000000222000&lt;/publication_date&gt;&lt;uuid&gt;8CE9453A-83E3-4095-8870-40D21C1828FC&lt;/uuid&gt;&lt;type&gt;400&lt;/type&gt;&lt;number&gt;125&lt;/number&gt;&lt;doi&gt;10.1126/scitranslmed.3003377&lt;/doi&gt;&lt;institution&gt;Biomedical Informatics Training Program, Stanford University, Stanford, CA 94305, USA.&lt;/institution&gt;&lt;startpage&gt;125ra31&lt;/startpage&gt;&lt;endpage&gt;125ra31&lt;/endpage&gt;&lt;bundle&gt;&lt;publication&gt;&lt;title&gt;Science translational medicine&lt;/title&gt;&lt;uuid&gt;975E568A-25A3-47B7-9363-C9CDBB169D35&lt;/uuid&gt;&lt;subtype&gt;-100&lt;/subtype&gt;&lt;publisher&gt;American Association for the Advancement of Science&lt;/publisher&gt;&lt;type&gt;-100&lt;/type&gt;&lt;/publication&gt;&lt;/bundle&gt;&lt;authors&gt;&lt;author&gt;&lt;lastName&gt;Tatonetti&lt;/lastName&gt;&lt;firstName&gt;Nicholas&lt;/firstName&gt;&lt;middleNames&gt;P&lt;/middleNames&gt;&lt;/author&gt;&lt;author&gt;&lt;lastName&gt;Ye&lt;/lastName&gt;&lt;firstName&gt;Patrick&lt;/firstName&gt;&lt;middleNames&gt;P&lt;/middleNames&gt;&lt;/author&gt;&lt;author&gt;&lt;lastName&gt;Daneshjou&lt;/lastName&gt;&lt;firstName&gt;Roxana&lt;/firstName&gt;&lt;/author&gt;&lt;author&gt;&lt;lastName&gt;Altman&lt;/lastName&gt;&lt;firstName&gt;Russ&lt;/firstName&gt;&lt;middleNames&gt;B&lt;/middleNames&gt;&lt;/author&gt;&lt;/authors&gt;&lt;/publication&gt;&lt;/publications&gt;&lt;cites&gt;&lt;/cites&gt;&lt;/citation&gt;</w:instrText>
      </w:r>
      <w:r w:rsidRPr="003957E5">
        <w:rPr>
          <w:b w:val="0"/>
          <w:bCs w:val="0"/>
        </w:rPr>
        <w:fldChar w:fldCharType="separate"/>
      </w:r>
      <w:r w:rsidRPr="003957E5">
        <w:rPr>
          <w:rFonts w:eastAsiaTheme="minorHAnsi"/>
          <w:b w:val="0"/>
          <w:bCs w:val="0"/>
        </w:rPr>
        <w:t>(</w:t>
      </w:r>
      <w:r w:rsidRPr="003957E5">
        <w:rPr>
          <w:rFonts w:eastAsiaTheme="minorHAnsi"/>
          <w:b w:val="0"/>
          <w:bCs w:val="0"/>
          <w:i/>
          <w:iCs/>
        </w:rPr>
        <w:t>18</w:t>
      </w:r>
      <w:r w:rsidRPr="003957E5">
        <w:rPr>
          <w:rFonts w:eastAsiaTheme="minorHAnsi"/>
          <w:b w:val="0"/>
          <w:bCs w:val="0"/>
        </w:rPr>
        <w:t>)</w:t>
      </w:r>
      <w:r w:rsidRPr="003957E5">
        <w:rPr>
          <w:b w:val="0"/>
          <w:bCs w:val="0"/>
        </w:rPr>
        <w:fldChar w:fldCharType="end"/>
      </w:r>
    </w:p>
    <w:p w14:paraId="64EEF721" w14:textId="3D608C02" w:rsidR="003957E5" w:rsidRPr="003957E5" w:rsidRDefault="003957E5" w:rsidP="000D3216">
      <w:pPr>
        <w:pStyle w:val="Paragraph"/>
        <w:spacing w:before="0" w:line="480" w:lineRule="auto"/>
        <w:ind w:firstLine="0"/>
      </w:pPr>
      <w:r w:rsidRPr="003957E5">
        <w:t>Table S2. Drugs used in sepsis DDI study.</w:t>
      </w:r>
    </w:p>
    <w:p w14:paraId="4BB0992A" w14:textId="325AAD54" w:rsidR="003957E5" w:rsidRPr="003957E5" w:rsidRDefault="003957E5" w:rsidP="000D3216">
      <w:pPr>
        <w:pStyle w:val="SMHeading"/>
        <w:spacing w:before="0" w:after="0" w:line="480" w:lineRule="auto"/>
        <w:rPr>
          <w:b w:val="0"/>
          <w:bCs w:val="0"/>
        </w:rPr>
      </w:pPr>
      <w:r w:rsidRPr="003957E5">
        <w:rPr>
          <w:b w:val="0"/>
          <w:bCs w:val="0"/>
        </w:rPr>
        <w:t>Table S3. Covariate balance in sepsis study after matching.</w:t>
      </w:r>
    </w:p>
    <w:p w14:paraId="4533F8A4" w14:textId="6861DC37" w:rsidR="003957E5" w:rsidRDefault="003957E5" w:rsidP="000D3216">
      <w:pPr>
        <w:pStyle w:val="Paragraph"/>
        <w:spacing w:before="0" w:line="480" w:lineRule="auto"/>
        <w:ind w:firstLine="0"/>
      </w:pPr>
      <w:r w:rsidRPr="003957E5">
        <w:t>Table S4. Drugs used in pancreatitis DDI study.</w:t>
      </w:r>
    </w:p>
    <w:p w14:paraId="59E1CC01" w14:textId="77777777" w:rsidR="003957E5" w:rsidRPr="00E538B1" w:rsidRDefault="003957E5" w:rsidP="000D3216">
      <w:pPr>
        <w:pStyle w:val="SMHeading"/>
        <w:spacing w:before="0" w:after="0" w:line="480" w:lineRule="auto"/>
        <w:rPr>
          <w:b w:val="0"/>
          <w:bCs w:val="0"/>
        </w:rPr>
      </w:pPr>
      <w:r w:rsidRPr="003957E5">
        <w:rPr>
          <w:b w:val="0"/>
          <w:bCs w:val="0"/>
        </w:rPr>
        <w:lastRenderedPageBreak/>
        <w:t>Table S5. Covariate</w:t>
      </w:r>
      <w:r w:rsidRPr="00E538B1">
        <w:rPr>
          <w:b w:val="0"/>
          <w:bCs w:val="0"/>
        </w:rPr>
        <w:t xml:space="preserve"> balance in pancreatitis study after matching.</w:t>
      </w:r>
    </w:p>
    <w:p w14:paraId="53FE7C2F" w14:textId="5024C1BA" w:rsidR="003957E5" w:rsidRPr="001A2627" w:rsidRDefault="003957E5" w:rsidP="000D3216">
      <w:pPr>
        <w:pStyle w:val="SMHeading"/>
        <w:spacing w:before="0" w:after="0" w:line="480" w:lineRule="auto"/>
        <w:rPr>
          <w:b w:val="0"/>
          <w:bCs w:val="0"/>
        </w:rPr>
      </w:pPr>
      <w:r w:rsidRPr="003957E5">
        <w:rPr>
          <w:b w:val="0"/>
          <w:bCs w:val="0"/>
        </w:rPr>
        <w:t>Table S6.</w:t>
      </w:r>
      <w:r w:rsidRPr="0069655B">
        <w:rPr>
          <w:b w:val="0"/>
          <w:bCs w:val="0"/>
        </w:rPr>
        <w:t xml:space="preserve"> </w:t>
      </w:r>
      <w:r>
        <w:rPr>
          <w:b w:val="0"/>
          <w:bCs w:val="0"/>
        </w:rPr>
        <w:t>Remaining 58 class predicted DDIs, network classes and drugs contained in each class</w:t>
      </w:r>
      <w:r w:rsidRPr="00E538B1">
        <w:rPr>
          <w:b w:val="0"/>
          <w:bCs w:val="0"/>
        </w:rPr>
        <w:t>.</w:t>
      </w:r>
    </w:p>
    <w:p w14:paraId="519EAEEB" w14:textId="546D1612" w:rsidR="008573F1" w:rsidRPr="001A2627" w:rsidRDefault="008573F1" w:rsidP="000D3216">
      <w:pPr>
        <w:pStyle w:val="Refhead"/>
        <w:spacing w:line="480" w:lineRule="auto"/>
      </w:pPr>
      <w:r w:rsidRPr="00175CBB">
        <w:rPr>
          <w:b w:val="0"/>
        </w:rPr>
        <w:t xml:space="preserve">Data file S1. </w:t>
      </w:r>
      <w:r w:rsidR="001A2627">
        <w:rPr>
          <w:b w:val="0"/>
        </w:rPr>
        <w:t>ADRs extracted from drug labels (</w:t>
      </w:r>
      <w:r w:rsidR="00527FCC">
        <w:rPr>
          <w:b w:val="0"/>
        </w:rPr>
        <w:t>supp1_</w:t>
      </w:r>
      <w:r w:rsidR="001A2627" w:rsidRPr="001A2627">
        <w:rPr>
          <w:b w:val="0"/>
          <w:bCs w:val="0"/>
        </w:rPr>
        <w:t>Drugs_labeled_for_AEs.txt</w:t>
      </w:r>
      <w:r w:rsidR="001A2627">
        <w:rPr>
          <w:b w:val="0"/>
        </w:rPr>
        <w:t>)</w:t>
      </w:r>
    </w:p>
    <w:p w14:paraId="25B209D8" w14:textId="4FC88B39" w:rsidR="001A2627" w:rsidRPr="001A2627" w:rsidRDefault="001A2627" w:rsidP="000D3216">
      <w:pPr>
        <w:pStyle w:val="Refhead"/>
        <w:spacing w:line="480" w:lineRule="auto"/>
      </w:pPr>
      <w:r>
        <w:rPr>
          <w:b w:val="0"/>
        </w:rPr>
        <w:t>Data file S2. Drug-network ADR associ</w:t>
      </w:r>
      <w:r w:rsidRPr="001A2627">
        <w:rPr>
          <w:b w:val="0"/>
        </w:rPr>
        <w:t>ations discovered from PathFX (</w:t>
      </w:r>
      <w:r w:rsidR="00527FCC">
        <w:rPr>
          <w:b w:val="0"/>
        </w:rPr>
        <w:t>supp2</w:t>
      </w:r>
      <w:r w:rsidRPr="001A2627">
        <w:rPr>
          <w:b w:val="0"/>
        </w:rPr>
        <w:t>_true_positives_summary.xlsx)</w:t>
      </w:r>
    </w:p>
    <w:p w14:paraId="1CD3F2A0" w14:textId="01169FBD" w:rsidR="001A2627" w:rsidRPr="001A2627" w:rsidRDefault="001A2627" w:rsidP="000D3216">
      <w:pPr>
        <w:pStyle w:val="Refhead"/>
        <w:spacing w:line="480" w:lineRule="auto"/>
      </w:pPr>
      <w:r>
        <w:rPr>
          <w:b w:val="0"/>
        </w:rPr>
        <w:t>Data file S3. Analysis of common downstream, ADR-associated proteins (</w:t>
      </w:r>
      <w:r w:rsidR="00527FCC">
        <w:rPr>
          <w:b w:val="0"/>
          <w:bCs w:val="0"/>
        </w:rPr>
        <w:t>supp3</w:t>
      </w:r>
      <w:r w:rsidRPr="001A2627">
        <w:rPr>
          <w:b w:val="0"/>
          <w:bCs w:val="0"/>
        </w:rPr>
        <w:t>_DME_merged_node_counts.xlsx)</w:t>
      </w:r>
    </w:p>
    <w:p w14:paraId="0A0FA252" w14:textId="16DA85EA" w:rsidR="001A2627" w:rsidRPr="001A2627" w:rsidRDefault="001A2627" w:rsidP="000D3216">
      <w:pPr>
        <w:pStyle w:val="Refhead"/>
        <w:spacing w:line="480" w:lineRule="auto"/>
      </w:pPr>
      <w:r>
        <w:rPr>
          <w:b w:val="0"/>
        </w:rPr>
        <w:t>Data file S4. Top ADR-associated network proteins used in heatmap (</w:t>
      </w:r>
      <w:r w:rsidR="00527FCC">
        <w:rPr>
          <w:b w:val="0"/>
          <w:bCs w:val="0"/>
        </w:rPr>
        <w:t>supp4</w:t>
      </w:r>
      <w:r w:rsidRPr="001A2627">
        <w:rPr>
          <w:b w:val="0"/>
          <w:bCs w:val="0"/>
        </w:rPr>
        <w:t>_DME_heatmap_top_node_counts.xlsx)</w:t>
      </w:r>
    </w:p>
    <w:p w14:paraId="14D2CE20" w14:textId="15C1F06D" w:rsidR="001A2627" w:rsidRPr="00EE7E60" w:rsidRDefault="001A2627" w:rsidP="000D3216">
      <w:pPr>
        <w:pStyle w:val="Refhead"/>
        <w:spacing w:line="480" w:lineRule="auto"/>
      </w:pPr>
      <w:r>
        <w:rPr>
          <w:b w:val="0"/>
        </w:rPr>
        <w:t>Data file S5. DDI predictions from all-</w:t>
      </w:r>
      <w:proofErr w:type="gramStart"/>
      <w:r>
        <w:rPr>
          <w:b w:val="0"/>
        </w:rPr>
        <w:t>shortes</w:t>
      </w:r>
      <w:r w:rsidRPr="00EE7E60">
        <w:rPr>
          <w:b w:val="0"/>
        </w:rPr>
        <w:t>t-path</w:t>
      </w:r>
      <w:proofErr w:type="gramEnd"/>
      <w:r w:rsidRPr="00EE7E60">
        <w:rPr>
          <w:b w:val="0"/>
        </w:rPr>
        <w:t xml:space="preserve"> (SPs) (</w:t>
      </w:r>
      <w:r w:rsidR="00527FCC">
        <w:rPr>
          <w:b w:val="0"/>
        </w:rPr>
        <w:t>supp5</w:t>
      </w:r>
      <w:r w:rsidR="00EE7E60" w:rsidRPr="00EE7E60">
        <w:rPr>
          <w:b w:val="0"/>
        </w:rPr>
        <w:t>_all_SP_drug_class_predictions.xlsx)</w:t>
      </w:r>
    </w:p>
    <w:p w14:paraId="763A6D26" w14:textId="2493830E" w:rsidR="001A2627" w:rsidRPr="00D011FA" w:rsidRDefault="001A2627" w:rsidP="000D3216">
      <w:pPr>
        <w:pStyle w:val="Refhead"/>
        <w:spacing w:line="480" w:lineRule="auto"/>
      </w:pPr>
      <w:r>
        <w:rPr>
          <w:b w:val="0"/>
        </w:rPr>
        <w:t>Data file S6.</w:t>
      </w:r>
      <w:r w:rsidR="00EE7E60">
        <w:rPr>
          <w:b w:val="0"/>
        </w:rPr>
        <w:t xml:space="preserve"> </w:t>
      </w:r>
      <w:r w:rsidR="00D011FA">
        <w:rPr>
          <w:b w:val="0"/>
        </w:rPr>
        <w:t>DDI predictions from AD</w:t>
      </w:r>
      <w:r w:rsidR="00D011FA" w:rsidRPr="00D011FA">
        <w:rPr>
          <w:b w:val="0"/>
        </w:rPr>
        <w:t>R-associated-proteins (ARPs) and HER analysis results (</w:t>
      </w:r>
      <w:r w:rsidR="00527FCC">
        <w:rPr>
          <w:b w:val="0"/>
        </w:rPr>
        <w:t>supp6</w:t>
      </w:r>
      <w:r w:rsidR="00D011FA" w:rsidRPr="00D011FA">
        <w:rPr>
          <w:b w:val="0"/>
        </w:rPr>
        <w:t>_Assembled_sig_res_table.xlsx)</w:t>
      </w:r>
    </w:p>
    <w:p w14:paraId="423F0562" w14:textId="28546180" w:rsidR="001A2627" w:rsidRPr="00175CBB" w:rsidRDefault="001A2627" w:rsidP="000D3216">
      <w:pPr>
        <w:pStyle w:val="Refhead"/>
        <w:spacing w:line="480" w:lineRule="auto"/>
        <w:rPr>
          <w:b w:val="0"/>
        </w:rPr>
      </w:pPr>
      <w:r>
        <w:rPr>
          <w:b w:val="0"/>
        </w:rPr>
        <w:t>Data file S7.</w:t>
      </w:r>
      <w:r w:rsidR="004479CF">
        <w:rPr>
          <w:b w:val="0"/>
        </w:rPr>
        <w:t xml:space="preserve"> Summary from literature search of directionality of DDI effects. (</w:t>
      </w:r>
      <w:r w:rsidRPr="004479CF">
        <w:rPr>
          <w:b w:val="0"/>
        </w:rPr>
        <w:t>supp</w:t>
      </w:r>
      <w:r w:rsidR="00527FCC">
        <w:rPr>
          <w:b w:val="0"/>
        </w:rPr>
        <w:t>7</w:t>
      </w:r>
      <w:r w:rsidRPr="004479CF">
        <w:rPr>
          <w:b w:val="0"/>
        </w:rPr>
        <w:t>_summary_drug_interactions.xlsx</w:t>
      </w:r>
      <w:r w:rsidR="004479CF" w:rsidRPr="004479CF">
        <w:rPr>
          <w:b w:val="0"/>
        </w:rPr>
        <w:t>)</w:t>
      </w:r>
    </w:p>
    <w:p w14:paraId="2F00730E" w14:textId="77777777" w:rsidR="008573F1" w:rsidRPr="00175CBB" w:rsidRDefault="008573F1" w:rsidP="000D3216">
      <w:pPr>
        <w:pStyle w:val="Paragraph"/>
        <w:spacing w:line="480" w:lineRule="auto"/>
        <w:ind w:firstLine="0"/>
      </w:pPr>
    </w:p>
    <w:p w14:paraId="3F4AA22C" w14:textId="77777777" w:rsidR="004A10BE" w:rsidRPr="00175CBB" w:rsidRDefault="004A10BE" w:rsidP="000D3216">
      <w:pPr>
        <w:pStyle w:val="Refhead"/>
        <w:spacing w:line="480" w:lineRule="auto"/>
      </w:pPr>
      <w:r w:rsidRPr="00175CBB">
        <w:t>References and Notes</w:t>
      </w:r>
    </w:p>
    <w:p w14:paraId="0C852828" w14:textId="77777777" w:rsidR="00E232AB" w:rsidRPr="00E232AB" w:rsidRDefault="00E232AB" w:rsidP="000D3216">
      <w:pPr>
        <w:pStyle w:val="Acknowledgement"/>
        <w:spacing w:line="480" w:lineRule="auto"/>
        <w:ind w:firstLine="0"/>
      </w:pPr>
      <w:r w:rsidRPr="00E232AB">
        <w:t>1.</w:t>
      </w:r>
      <w:r w:rsidRPr="00E232AB">
        <w:tab/>
      </w:r>
      <w:r w:rsidRPr="00E232AB">
        <w:rPr>
          <w:i/>
          <w:iCs/>
        </w:rPr>
        <w:t>In Vitro Drug Interaction Studies — Cytochrome P450 Enzyme- and Transporter-Mediated Drug Interactions Guidance for Industry</w:t>
      </w:r>
      <w:r w:rsidRPr="00E232AB">
        <w:t xml:space="preserve"> (U.S. Food and Drug Administration, Guidance for Industry, 2020).</w:t>
      </w:r>
    </w:p>
    <w:p w14:paraId="6B623BBA" w14:textId="77777777" w:rsidR="00E232AB" w:rsidRPr="00E232AB" w:rsidRDefault="00E232AB" w:rsidP="000D3216">
      <w:pPr>
        <w:pStyle w:val="Acknowledgement"/>
        <w:spacing w:line="480" w:lineRule="auto"/>
        <w:ind w:firstLine="0"/>
      </w:pPr>
      <w:r w:rsidRPr="00E232AB">
        <w:lastRenderedPageBreak/>
        <w:t>2.</w:t>
      </w:r>
      <w:r w:rsidRPr="00E232AB">
        <w:tab/>
      </w:r>
      <w:r w:rsidRPr="00E232AB">
        <w:rPr>
          <w:i/>
          <w:iCs/>
        </w:rPr>
        <w:t>Clinical Drug Interaction Studies — Cytochrome P450 Enzyme- and Transporter-Mediated Drug Interactions Guidance for Industry</w:t>
      </w:r>
      <w:r w:rsidRPr="00E232AB">
        <w:t xml:space="preserve"> (U.S. Food and Drug Administration, Guidance for Industry, 2020).</w:t>
      </w:r>
    </w:p>
    <w:p w14:paraId="329A4D6D" w14:textId="77777777" w:rsidR="00E232AB" w:rsidRPr="00E232AB" w:rsidRDefault="00E232AB" w:rsidP="000D3216">
      <w:pPr>
        <w:pStyle w:val="Acknowledgement"/>
        <w:spacing w:line="480" w:lineRule="auto"/>
        <w:ind w:firstLine="0"/>
      </w:pPr>
      <w:r w:rsidRPr="00E232AB">
        <w:t>3.</w:t>
      </w:r>
      <w:r w:rsidRPr="00E232AB">
        <w:tab/>
        <w:t xml:space="preserve">D. S. Wishart, C. Knox, A. C. Guo, S. Shrivastava, M. </w:t>
      </w:r>
      <w:proofErr w:type="spellStart"/>
      <w:r w:rsidRPr="00E232AB">
        <w:t>Hassanali</w:t>
      </w:r>
      <w:proofErr w:type="spellEnd"/>
      <w:r w:rsidRPr="00E232AB">
        <w:t xml:space="preserve">, P. </w:t>
      </w:r>
      <w:proofErr w:type="spellStart"/>
      <w:r w:rsidRPr="00E232AB">
        <w:t>Stothard</w:t>
      </w:r>
      <w:proofErr w:type="spellEnd"/>
      <w:r w:rsidRPr="00E232AB">
        <w:t xml:space="preserve">, Z. Chang, J. </w:t>
      </w:r>
      <w:proofErr w:type="gramStart"/>
      <w:r w:rsidRPr="00E232AB">
        <w:t>Woolsey,  DrugBank</w:t>
      </w:r>
      <w:proofErr w:type="gramEnd"/>
      <w:r w:rsidRPr="00E232AB">
        <w:t>: a comprehensive resource for in silico drug discovery and exploration.</w:t>
      </w:r>
      <w:r w:rsidRPr="00E232AB">
        <w:rPr>
          <w:b/>
          <w:bCs/>
        </w:rPr>
        <w:t xml:space="preserve"> </w:t>
      </w:r>
      <w:r w:rsidRPr="00E232AB">
        <w:rPr>
          <w:i/>
          <w:iCs/>
        </w:rPr>
        <w:t>Nucleic Acids Research</w:t>
      </w:r>
      <w:r w:rsidRPr="00E232AB">
        <w:t xml:space="preserve">. </w:t>
      </w:r>
      <w:r w:rsidRPr="00E232AB">
        <w:rPr>
          <w:b/>
          <w:bCs/>
        </w:rPr>
        <w:t>34</w:t>
      </w:r>
      <w:r w:rsidRPr="00E232AB">
        <w:t>, D668–72 (2006).</w:t>
      </w:r>
    </w:p>
    <w:p w14:paraId="64991601" w14:textId="77777777" w:rsidR="00E232AB" w:rsidRPr="00E232AB" w:rsidRDefault="00E232AB" w:rsidP="000D3216">
      <w:pPr>
        <w:pStyle w:val="Acknowledgement"/>
        <w:spacing w:line="480" w:lineRule="auto"/>
        <w:ind w:firstLine="0"/>
      </w:pPr>
      <w:r w:rsidRPr="00E232AB">
        <w:t>4.</w:t>
      </w:r>
      <w:r w:rsidRPr="00E232AB">
        <w:tab/>
        <w:t xml:space="preserve">V. Law, C. Knox, Y. </w:t>
      </w:r>
      <w:proofErr w:type="spellStart"/>
      <w:r w:rsidRPr="00E232AB">
        <w:t>Djoumbou</w:t>
      </w:r>
      <w:proofErr w:type="spellEnd"/>
      <w:r w:rsidRPr="00E232AB">
        <w:t xml:space="preserve">, T. </w:t>
      </w:r>
      <w:proofErr w:type="spellStart"/>
      <w:r w:rsidRPr="00E232AB">
        <w:t>Jewison</w:t>
      </w:r>
      <w:proofErr w:type="spellEnd"/>
      <w:r w:rsidRPr="00E232AB">
        <w:t xml:space="preserve">, A. C. Guo, Y. Liu, A. </w:t>
      </w:r>
      <w:proofErr w:type="spellStart"/>
      <w:r w:rsidRPr="00E232AB">
        <w:t>Maciejewski</w:t>
      </w:r>
      <w:proofErr w:type="spellEnd"/>
      <w:r w:rsidRPr="00E232AB">
        <w:t xml:space="preserve">, D. Arndt, M. Wilson, V. </w:t>
      </w:r>
      <w:proofErr w:type="spellStart"/>
      <w:r w:rsidRPr="00E232AB">
        <w:t>Neveu</w:t>
      </w:r>
      <w:proofErr w:type="spellEnd"/>
      <w:r w:rsidRPr="00E232AB">
        <w:t xml:space="preserve">, A. Tang, G. Gabriel, C. Ly, S. </w:t>
      </w:r>
      <w:proofErr w:type="spellStart"/>
      <w:r w:rsidRPr="00E232AB">
        <w:t>Adamjee</w:t>
      </w:r>
      <w:proofErr w:type="spellEnd"/>
      <w:r w:rsidRPr="00E232AB">
        <w:t xml:space="preserve">, Z. T. Dame, B. Han, Y. Zhou, D. S. Wishart, DrugBank 4.0: shedding new light on drug metabolism. </w:t>
      </w:r>
      <w:r w:rsidRPr="00E232AB">
        <w:rPr>
          <w:i/>
          <w:iCs/>
        </w:rPr>
        <w:t>Nucleic Acids Research</w:t>
      </w:r>
      <w:r w:rsidRPr="00E232AB">
        <w:t xml:space="preserve">. </w:t>
      </w:r>
      <w:r w:rsidRPr="00E232AB">
        <w:rPr>
          <w:b/>
          <w:bCs/>
        </w:rPr>
        <w:t>42</w:t>
      </w:r>
      <w:r w:rsidRPr="00E232AB">
        <w:t>, D1091–7 (2014).</w:t>
      </w:r>
    </w:p>
    <w:p w14:paraId="5FEE022C" w14:textId="77777777" w:rsidR="00E232AB" w:rsidRPr="00E232AB" w:rsidRDefault="00E232AB" w:rsidP="000D3216">
      <w:pPr>
        <w:pStyle w:val="Acknowledgement"/>
        <w:spacing w:line="480" w:lineRule="auto"/>
        <w:ind w:firstLine="0"/>
      </w:pPr>
      <w:r w:rsidRPr="00E232AB">
        <w:t>5.</w:t>
      </w:r>
      <w:r w:rsidRPr="00E232AB">
        <w:tab/>
        <w:t xml:space="preserve">M. Whirl-Carrillo, E. M. McDonagh, J. M. Hebert, L. Gong, K. </w:t>
      </w:r>
      <w:proofErr w:type="spellStart"/>
      <w:r w:rsidRPr="00E232AB">
        <w:t>Sangkuhl</w:t>
      </w:r>
      <w:proofErr w:type="spellEnd"/>
      <w:r w:rsidRPr="00E232AB">
        <w:t xml:space="preserve">, C. F. Thorn, R. B. Altman, T. E. Klein, Pharmacogenomics Knowledge for Personalized </w:t>
      </w:r>
      <w:proofErr w:type="spellStart"/>
      <w:r w:rsidRPr="00E232AB">
        <w:t>Medicine.</w:t>
      </w:r>
      <w:r w:rsidRPr="00E232AB">
        <w:rPr>
          <w:i/>
          <w:iCs/>
        </w:rPr>
        <w:t>Clinical</w:t>
      </w:r>
      <w:proofErr w:type="spellEnd"/>
      <w:r w:rsidRPr="00E232AB">
        <w:rPr>
          <w:i/>
          <w:iCs/>
        </w:rPr>
        <w:t xml:space="preserve"> pharmacology and therapeutics</w:t>
      </w:r>
      <w:r w:rsidRPr="00E232AB">
        <w:t xml:space="preserve">. </w:t>
      </w:r>
      <w:r w:rsidRPr="00E232AB">
        <w:rPr>
          <w:b/>
          <w:bCs/>
        </w:rPr>
        <w:t>92</w:t>
      </w:r>
      <w:r w:rsidRPr="00E232AB">
        <w:t>, 414–417 (2012).</w:t>
      </w:r>
    </w:p>
    <w:p w14:paraId="48D63BB5" w14:textId="77777777" w:rsidR="00E232AB" w:rsidRPr="00E232AB" w:rsidRDefault="00E232AB" w:rsidP="000D3216">
      <w:pPr>
        <w:pStyle w:val="Acknowledgement"/>
        <w:spacing w:line="480" w:lineRule="auto"/>
        <w:ind w:firstLine="0"/>
      </w:pPr>
      <w:r w:rsidRPr="00E232AB">
        <w:t>6.</w:t>
      </w:r>
      <w:r w:rsidRPr="00E232AB">
        <w:tab/>
        <w:t xml:space="preserve">H. L. McLeod, Clinically relevant drug-drug interactions in oncology. </w:t>
      </w:r>
      <w:r w:rsidRPr="00E232AB">
        <w:rPr>
          <w:i/>
          <w:iCs/>
        </w:rPr>
        <w:t xml:space="preserve">Br J Clin </w:t>
      </w:r>
      <w:proofErr w:type="spellStart"/>
      <w:r w:rsidRPr="00E232AB">
        <w:rPr>
          <w:i/>
          <w:iCs/>
        </w:rPr>
        <w:t>Pharmacol</w:t>
      </w:r>
      <w:proofErr w:type="spellEnd"/>
      <w:r w:rsidRPr="00E232AB">
        <w:t xml:space="preserve">. </w:t>
      </w:r>
      <w:r w:rsidRPr="00E232AB">
        <w:rPr>
          <w:b/>
          <w:bCs/>
        </w:rPr>
        <w:t>45</w:t>
      </w:r>
      <w:r w:rsidRPr="00E232AB">
        <w:t>, 539–544 (1998).</w:t>
      </w:r>
    </w:p>
    <w:p w14:paraId="5DBD73E8" w14:textId="77777777" w:rsidR="00E232AB" w:rsidRPr="00E232AB" w:rsidRDefault="00E232AB" w:rsidP="000D3216">
      <w:pPr>
        <w:pStyle w:val="Acknowledgement"/>
        <w:spacing w:line="480" w:lineRule="auto"/>
        <w:ind w:firstLine="0"/>
      </w:pPr>
      <w:r w:rsidRPr="00E232AB">
        <w:t>7.</w:t>
      </w:r>
      <w:r w:rsidRPr="00E232AB">
        <w:tab/>
        <w:t xml:space="preserve">E. </w:t>
      </w:r>
      <w:proofErr w:type="spellStart"/>
      <w:r w:rsidRPr="00E232AB">
        <w:t>Guney</w:t>
      </w:r>
      <w:proofErr w:type="spellEnd"/>
      <w:r w:rsidRPr="00E232AB">
        <w:t xml:space="preserve">, J. </w:t>
      </w:r>
      <w:proofErr w:type="spellStart"/>
      <w:r w:rsidRPr="00E232AB">
        <w:t>Menche</w:t>
      </w:r>
      <w:proofErr w:type="spellEnd"/>
      <w:r w:rsidRPr="00E232AB">
        <w:t xml:space="preserve">, M. Vidal, A.-L. </w:t>
      </w:r>
      <w:proofErr w:type="spellStart"/>
      <w:r w:rsidRPr="00E232AB">
        <w:t>Barabási</w:t>
      </w:r>
      <w:proofErr w:type="spellEnd"/>
      <w:r w:rsidRPr="00E232AB">
        <w:t>, Network-based in silico drug efficacy screening. </w:t>
      </w:r>
      <w:r w:rsidRPr="00E232AB">
        <w:rPr>
          <w:i/>
          <w:iCs/>
        </w:rPr>
        <w:t xml:space="preserve">Nat </w:t>
      </w:r>
      <w:proofErr w:type="spellStart"/>
      <w:r w:rsidRPr="00E232AB">
        <w:rPr>
          <w:i/>
          <w:iCs/>
        </w:rPr>
        <w:t>Commun</w:t>
      </w:r>
      <w:proofErr w:type="spellEnd"/>
      <w:r w:rsidRPr="00E232AB">
        <w:t xml:space="preserve">. </w:t>
      </w:r>
      <w:r w:rsidRPr="00E232AB">
        <w:rPr>
          <w:b/>
          <w:bCs/>
        </w:rPr>
        <w:t>7</w:t>
      </w:r>
      <w:r w:rsidRPr="00E232AB">
        <w:t>, 10331 (2016).</w:t>
      </w:r>
    </w:p>
    <w:p w14:paraId="48146D5D" w14:textId="77777777" w:rsidR="00E232AB" w:rsidRPr="00E232AB" w:rsidRDefault="00E232AB" w:rsidP="000D3216">
      <w:pPr>
        <w:pStyle w:val="Acknowledgement"/>
        <w:spacing w:line="480" w:lineRule="auto"/>
        <w:ind w:firstLine="0"/>
      </w:pPr>
      <w:r w:rsidRPr="00E232AB">
        <w:t>8.</w:t>
      </w:r>
      <w:r w:rsidRPr="00E232AB">
        <w:tab/>
        <w:t>J. L. Wilson, R. Racz, T. Liu, O. Adeniyi, J. Sun, A. Ramamoorthy, M. Pacanowski, R. Altman, PathFX provides mechanistic insights into drug efficacy and safety for regulatory review and therapeutic development. </w:t>
      </w:r>
      <w:proofErr w:type="spellStart"/>
      <w:r w:rsidRPr="00E232AB">
        <w:rPr>
          <w:i/>
          <w:iCs/>
        </w:rPr>
        <w:t>PLoS</w:t>
      </w:r>
      <w:proofErr w:type="spellEnd"/>
      <w:r w:rsidRPr="00E232AB">
        <w:rPr>
          <w:i/>
          <w:iCs/>
        </w:rPr>
        <w:t xml:space="preserve"> </w:t>
      </w:r>
      <w:proofErr w:type="spellStart"/>
      <w:r w:rsidRPr="00E232AB">
        <w:rPr>
          <w:i/>
          <w:iCs/>
        </w:rPr>
        <w:t>Comput</w:t>
      </w:r>
      <w:proofErr w:type="spellEnd"/>
      <w:r w:rsidRPr="00E232AB">
        <w:rPr>
          <w:i/>
          <w:iCs/>
        </w:rPr>
        <w:t xml:space="preserve"> Biol</w:t>
      </w:r>
      <w:r w:rsidRPr="00E232AB">
        <w:t xml:space="preserve">. </w:t>
      </w:r>
      <w:r w:rsidRPr="00E232AB">
        <w:rPr>
          <w:b/>
          <w:bCs/>
        </w:rPr>
        <w:t>14</w:t>
      </w:r>
      <w:r w:rsidRPr="00E232AB">
        <w:t>, e1006614–27 (2018).</w:t>
      </w:r>
    </w:p>
    <w:p w14:paraId="52B459B5" w14:textId="77777777" w:rsidR="00E232AB" w:rsidRPr="00E232AB" w:rsidRDefault="00E232AB" w:rsidP="000D3216">
      <w:pPr>
        <w:pStyle w:val="Acknowledgement"/>
        <w:spacing w:line="480" w:lineRule="auto"/>
        <w:ind w:firstLine="0"/>
      </w:pPr>
      <w:r w:rsidRPr="00E232AB">
        <w:lastRenderedPageBreak/>
        <w:t>9.</w:t>
      </w:r>
      <w:r w:rsidRPr="00E232AB">
        <w:tab/>
        <w:t xml:space="preserve">F. Cheng, I. A. </w:t>
      </w:r>
      <w:proofErr w:type="spellStart"/>
      <w:r w:rsidRPr="00E232AB">
        <w:t>Kovács</w:t>
      </w:r>
      <w:proofErr w:type="spellEnd"/>
      <w:r w:rsidRPr="00E232AB">
        <w:t xml:space="preserve">, A.-L. </w:t>
      </w:r>
      <w:proofErr w:type="spellStart"/>
      <w:r w:rsidRPr="00E232AB">
        <w:t>Barabási</w:t>
      </w:r>
      <w:proofErr w:type="spellEnd"/>
      <w:r w:rsidRPr="00E232AB">
        <w:t xml:space="preserve">, Network-based prediction of drug combinations. </w:t>
      </w:r>
      <w:r w:rsidRPr="00E232AB">
        <w:rPr>
          <w:i/>
          <w:iCs/>
        </w:rPr>
        <w:t xml:space="preserve">Nat </w:t>
      </w:r>
      <w:proofErr w:type="spellStart"/>
      <w:r w:rsidRPr="00E232AB">
        <w:rPr>
          <w:i/>
          <w:iCs/>
        </w:rPr>
        <w:t>Commun</w:t>
      </w:r>
      <w:proofErr w:type="spellEnd"/>
      <w:r w:rsidRPr="00E232AB">
        <w:t xml:space="preserve">. </w:t>
      </w:r>
      <w:r w:rsidRPr="00E232AB">
        <w:rPr>
          <w:b/>
          <w:bCs/>
        </w:rPr>
        <w:t>9</w:t>
      </w:r>
      <w:r w:rsidRPr="00E232AB">
        <w:t>, 1–12 (2018).</w:t>
      </w:r>
    </w:p>
    <w:p w14:paraId="6BE2552F" w14:textId="77777777" w:rsidR="00E232AB" w:rsidRPr="00E232AB" w:rsidRDefault="00E232AB" w:rsidP="000D3216">
      <w:pPr>
        <w:pStyle w:val="Acknowledgement"/>
        <w:spacing w:line="480" w:lineRule="auto"/>
        <w:ind w:firstLine="0"/>
      </w:pPr>
      <w:r w:rsidRPr="00E232AB">
        <w:t>10.</w:t>
      </w:r>
      <w:r w:rsidRPr="00E232AB">
        <w:tab/>
        <w:t xml:space="preserve">D. M. </w:t>
      </w:r>
      <w:proofErr w:type="spellStart"/>
      <w:r w:rsidRPr="00E232AB">
        <w:t>Gysi</w:t>
      </w:r>
      <w:proofErr w:type="spellEnd"/>
      <w:r w:rsidRPr="00E232AB">
        <w:t xml:space="preserve">, Í. do Valle, M. </w:t>
      </w:r>
      <w:proofErr w:type="spellStart"/>
      <w:r w:rsidRPr="00E232AB">
        <w:t>Zitnik</w:t>
      </w:r>
      <w:proofErr w:type="spellEnd"/>
      <w:r w:rsidRPr="00E232AB">
        <w:t xml:space="preserve">, A. </w:t>
      </w:r>
      <w:proofErr w:type="spellStart"/>
      <w:r w:rsidRPr="00E232AB">
        <w:t>Ameli</w:t>
      </w:r>
      <w:proofErr w:type="spellEnd"/>
      <w:r w:rsidRPr="00E232AB">
        <w:t xml:space="preserve">, X. Gan, O. </w:t>
      </w:r>
      <w:proofErr w:type="spellStart"/>
      <w:r w:rsidRPr="00E232AB">
        <w:t>Varol</w:t>
      </w:r>
      <w:proofErr w:type="spellEnd"/>
      <w:r w:rsidRPr="00E232AB">
        <w:t xml:space="preserve">, S. D. </w:t>
      </w:r>
      <w:proofErr w:type="spellStart"/>
      <w:r w:rsidRPr="00E232AB">
        <w:t>Ghiassian</w:t>
      </w:r>
      <w:proofErr w:type="spellEnd"/>
      <w:r w:rsidRPr="00E232AB">
        <w:t xml:space="preserve">, J. J. Patten, R. A. Davey, J. </w:t>
      </w:r>
      <w:proofErr w:type="spellStart"/>
      <w:r w:rsidRPr="00E232AB">
        <w:t>Loscalzo</w:t>
      </w:r>
      <w:proofErr w:type="spellEnd"/>
      <w:r w:rsidRPr="00E232AB">
        <w:t xml:space="preserve">, A.-L. </w:t>
      </w:r>
      <w:proofErr w:type="spellStart"/>
      <w:r w:rsidRPr="00E232AB">
        <w:t>Barabási</w:t>
      </w:r>
      <w:proofErr w:type="spellEnd"/>
      <w:r w:rsidRPr="00E232AB">
        <w:t xml:space="preserve">, Network medicine framework for identifying drug-repurposing opportunities for COVID-19. </w:t>
      </w:r>
      <w:r w:rsidRPr="00E232AB">
        <w:rPr>
          <w:i/>
          <w:iCs/>
        </w:rPr>
        <w:t>Proc. Natl. Acad. Sci. U.S.A.</w:t>
      </w:r>
      <w:r w:rsidRPr="00E232AB">
        <w:t xml:space="preserve"> </w:t>
      </w:r>
      <w:r w:rsidRPr="00E232AB">
        <w:rPr>
          <w:b/>
          <w:bCs/>
        </w:rPr>
        <w:t>118</w:t>
      </w:r>
      <w:r w:rsidRPr="00E232AB">
        <w:t xml:space="preserve"> (2021).</w:t>
      </w:r>
    </w:p>
    <w:p w14:paraId="64EAE382" w14:textId="77777777" w:rsidR="00E232AB" w:rsidRPr="00E232AB" w:rsidRDefault="00E232AB" w:rsidP="000D3216">
      <w:pPr>
        <w:pStyle w:val="Acknowledgement"/>
        <w:spacing w:line="480" w:lineRule="auto"/>
        <w:ind w:firstLine="0"/>
      </w:pPr>
      <w:r w:rsidRPr="00E232AB">
        <w:t>11.</w:t>
      </w:r>
      <w:r w:rsidRPr="00E232AB">
        <w:tab/>
        <w:t xml:space="preserve">J. Aguirre-Plans, J. </w:t>
      </w:r>
      <w:proofErr w:type="spellStart"/>
      <w:r w:rsidRPr="00E232AB">
        <w:t>Piñero</w:t>
      </w:r>
      <w:proofErr w:type="spellEnd"/>
      <w:r w:rsidRPr="00E232AB">
        <w:t xml:space="preserve">, J. </w:t>
      </w:r>
      <w:proofErr w:type="spellStart"/>
      <w:r w:rsidRPr="00E232AB">
        <w:t>Menche</w:t>
      </w:r>
      <w:proofErr w:type="spellEnd"/>
      <w:r w:rsidRPr="00E232AB">
        <w:t xml:space="preserve">, F. Sanz, L. Furlong, H. Schmidt, B. Oliva, E. </w:t>
      </w:r>
      <w:proofErr w:type="spellStart"/>
      <w:r w:rsidRPr="00E232AB">
        <w:t>Guney</w:t>
      </w:r>
      <w:proofErr w:type="spellEnd"/>
      <w:r w:rsidRPr="00E232AB">
        <w:t xml:space="preserve">, Proximal Pathway Enrichment Analysis for Targeting Comorbid Diseases via Network </w:t>
      </w:r>
      <w:proofErr w:type="spellStart"/>
      <w:r w:rsidRPr="00E232AB">
        <w:t>Endopharmacology</w:t>
      </w:r>
      <w:proofErr w:type="spellEnd"/>
      <w:r w:rsidRPr="00E232AB">
        <w:t xml:space="preserve">. </w:t>
      </w:r>
      <w:r w:rsidRPr="00E232AB">
        <w:rPr>
          <w:i/>
          <w:iCs/>
        </w:rPr>
        <w:t>Pharmaceuticals</w:t>
      </w:r>
      <w:r w:rsidRPr="00E232AB">
        <w:t xml:space="preserve">. </w:t>
      </w:r>
      <w:r w:rsidRPr="00E232AB">
        <w:rPr>
          <w:b/>
          <w:bCs/>
        </w:rPr>
        <w:t>11</w:t>
      </w:r>
      <w:r w:rsidRPr="00E232AB">
        <w:t>, 61–18 (2018).</w:t>
      </w:r>
    </w:p>
    <w:p w14:paraId="2226E0BF" w14:textId="77777777" w:rsidR="00E232AB" w:rsidRPr="00E232AB" w:rsidRDefault="00E232AB" w:rsidP="000D3216">
      <w:pPr>
        <w:pStyle w:val="Acknowledgement"/>
        <w:spacing w:line="480" w:lineRule="auto"/>
        <w:ind w:firstLine="0"/>
      </w:pPr>
      <w:r w:rsidRPr="00E232AB">
        <w:t>12.</w:t>
      </w:r>
      <w:r w:rsidRPr="00E232AB">
        <w:tab/>
        <w:t xml:space="preserve">M. </w:t>
      </w:r>
      <w:proofErr w:type="spellStart"/>
      <w:r w:rsidRPr="00E232AB">
        <w:t>Zitnik</w:t>
      </w:r>
      <w:proofErr w:type="spellEnd"/>
      <w:r w:rsidRPr="00E232AB">
        <w:t xml:space="preserve">, M. Agrawal, J. </w:t>
      </w:r>
      <w:proofErr w:type="spellStart"/>
      <w:r w:rsidRPr="00E232AB">
        <w:t>Leskovec</w:t>
      </w:r>
      <w:proofErr w:type="spellEnd"/>
      <w:r w:rsidRPr="00E232AB">
        <w:t xml:space="preserve">, Modeling polypharmacy side effects with graph convolutional networks. </w:t>
      </w:r>
      <w:r w:rsidRPr="00E232AB">
        <w:rPr>
          <w:i/>
          <w:iCs/>
        </w:rPr>
        <w:t>Bioinformatics</w:t>
      </w:r>
      <w:r w:rsidRPr="00E232AB">
        <w:t xml:space="preserve">. </w:t>
      </w:r>
      <w:r w:rsidRPr="00E232AB">
        <w:rPr>
          <w:b/>
          <w:bCs/>
        </w:rPr>
        <w:t>34</w:t>
      </w:r>
      <w:r w:rsidRPr="00E232AB">
        <w:t>, i457–i466 (2018).</w:t>
      </w:r>
    </w:p>
    <w:p w14:paraId="4888D627" w14:textId="77777777" w:rsidR="00E232AB" w:rsidRPr="00E232AB" w:rsidRDefault="00E232AB" w:rsidP="000D3216">
      <w:pPr>
        <w:pStyle w:val="Acknowledgement"/>
        <w:spacing w:line="480" w:lineRule="auto"/>
        <w:ind w:firstLine="0"/>
      </w:pPr>
      <w:r w:rsidRPr="00E232AB">
        <w:t>13.</w:t>
      </w:r>
      <w:r w:rsidRPr="00E232AB">
        <w:tab/>
        <w:t xml:space="preserve">S. </w:t>
      </w:r>
      <w:proofErr w:type="spellStart"/>
      <w:r w:rsidRPr="00E232AB">
        <w:t>Yoo</w:t>
      </w:r>
      <w:proofErr w:type="spellEnd"/>
      <w:r w:rsidRPr="00E232AB">
        <w:t xml:space="preserve">, K. Noh, M. Shin, J. Park, K.-H. Lee, H. Nam, D. Lee, </w:t>
      </w:r>
      <w:proofErr w:type="gramStart"/>
      <w:r w:rsidRPr="00E232AB">
        <w:t>In</w:t>
      </w:r>
      <w:proofErr w:type="gramEnd"/>
      <w:r w:rsidRPr="00E232AB">
        <w:t xml:space="preserve"> silico profiling of systemic effects of drugs to predict unexpected interactions. </w:t>
      </w:r>
      <w:r w:rsidRPr="00E232AB">
        <w:rPr>
          <w:i/>
          <w:iCs/>
        </w:rPr>
        <w:t>Scientific Reports</w:t>
      </w:r>
      <w:r w:rsidRPr="00E232AB">
        <w:t xml:space="preserve">. </w:t>
      </w:r>
      <w:r w:rsidRPr="00E232AB">
        <w:rPr>
          <w:b/>
          <w:bCs/>
        </w:rPr>
        <w:t>8</w:t>
      </w:r>
      <w:r w:rsidRPr="00E232AB">
        <w:t>, 1612 (2018).</w:t>
      </w:r>
    </w:p>
    <w:p w14:paraId="448C7D0B" w14:textId="77777777" w:rsidR="00E232AB" w:rsidRPr="00E232AB" w:rsidRDefault="00E232AB" w:rsidP="000D3216">
      <w:pPr>
        <w:pStyle w:val="Acknowledgement"/>
        <w:spacing w:line="480" w:lineRule="auto"/>
        <w:ind w:firstLine="0"/>
      </w:pPr>
      <w:r w:rsidRPr="00E232AB">
        <w:t>14.</w:t>
      </w:r>
      <w:r w:rsidRPr="00E232AB">
        <w:tab/>
        <w:t xml:space="preserve">C. Ruiz, M. </w:t>
      </w:r>
      <w:proofErr w:type="spellStart"/>
      <w:r w:rsidRPr="00E232AB">
        <w:t>Zitnik</w:t>
      </w:r>
      <w:proofErr w:type="spellEnd"/>
      <w:r w:rsidRPr="00E232AB">
        <w:t xml:space="preserve">, J. </w:t>
      </w:r>
      <w:proofErr w:type="spellStart"/>
      <w:r w:rsidRPr="00E232AB">
        <w:t>Leskovec</w:t>
      </w:r>
      <w:proofErr w:type="spellEnd"/>
      <w:r w:rsidRPr="00E232AB">
        <w:t xml:space="preserve">, Identification of disease treatment mechanisms through the multiscale interactome. </w:t>
      </w:r>
      <w:r w:rsidRPr="00E232AB">
        <w:rPr>
          <w:i/>
          <w:iCs/>
        </w:rPr>
        <w:t xml:space="preserve">Nat </w:t>
      </w:r>
      <w:proofErr w:type="spellStart"/>
      <w:r w:rsidRPr="00E232AB">
        <w:rPr>
          <w:i/>
          <w:iCs/>
        </w:rPr>
        <w:t>Commun</w:t>
      </w:r>
      <w:proofErr w:type="spellEnd"/>
      <w:r w:rsidRPr="00E232AB">
        <w:t xml:space="preserve">. </w:t>
      </w:r>
      <w:r w:rsidRPr="00E232AB">
        <w:rPr>
          <w:b/>
          <w:bCs/>
        </w:rPr>
        <w:t>12</w:t>
      </w:r>
      <w:r w:rsidRPr="00E232AB">
        <w:t>, 1–15 (2021).</w:t>
      </w:r>
    </w:p>
    <w:p w14:paraId="5CA5F7E5" w14:textId="77777777" w:rsidR="00E232AB" w:rsidRPr="00E232AB" w:rsidRDefault="00E232AB" w:rsidP="000D3216">
      <w:pPr>
        <w:pStyle w:val="Acknowledgement"/>
        <w:spacing w:line="480" w:lineRule="auto"/>
        <w:ind w:firstLine="0"/>
      </w:pPr>
      <w:r w:rsidRPr="00E232AB">
        <w:t>15.</w:t>
      </w:r>
      <w:r w:rsidRPr="00E232AB">
        <w:tab/>
        <w:t xml:space="preserve">N. P. </w:t>
      </w:r>
      <w:proofErr w:type="spellStart"/>
      <w:r w:rsidRPr="00E232AB">
        <w:t>Tatonetti</w:t>
      </w:r>
      <w:proofErr w:type="spellEnd"/>
      <w:r w:rsidRPr="00E232AB">
        <w:t xml:space="preserve">, J. C. Denny, S. N. Murphy, G. H. Fernald, G. Krishnan, V. Castro, P. Yue, P. S. </w:t>
      </w:r>
      <w:proofErr w:type="spellStart"/>
      <w:r w:rsidRPr="00E232AB">
        <w:t>Tsau</w:t>
      </w:r>
      <w:proofErr w:type="spellEnd"/>
      <w:r w:rsidRPr="00E232AB">
        <w:t xml:space="preserve">, I. </w:t>
      </w:r>
      <w:proofErr w:type="spellStart"/>
      <w:r w:rsidRPr="00E232AB">
        <w:t>Kohane</w:t>
      </w:r>
      <w:proofErr w:type="spellEnd"/>
      <w:r w:rsidRPr="00E232AB">
        <w:t xml:space="preserve">, D. M. </w:t>
      </w:r>
      <w:proofErr w:type="spellStart"/>
      <w:r w:rsidRPr="00E232AB">
        <w:t>Roden</w:t>
      </w:r>
      <w:proofErr w:type="spellEnd"/>
      <w:r w:rsidRPr="00E232AB">
        <w:t xml:space="preserve">, R. B. Altman, Detecting Drug Interactions </w:t>
      </w:r>
      <w:proofErr w:type="gramStart"/>
      <w:r w:rsidRPr="00E232AB">
        <w:t>From</w:t>
      </w:r>
      <w:proofErr w:type="gramEnd"/>
      <w:r w:rsidRPr="00E232AB">
        <w:t xml:space="preserve"> Adverse-Event Reports: Interaction Between Paroxetine and Pravastatin Increases Blood Glucose Levels. </w:t>
      </w:r>
      <w:r w:rsidRPr="00E232AB">
        <w:rPr>
          <w:i/>
          <w:iCs/>
        </w:rPr>
        <w:t>Clinical pharmacology and therapeutics</w:t>
      </w:r>
      <w:r w:rsidRPr="00E232AB">
        <w:t xml:space="preserve">. </w:t>
      </w:r>
      <w:r w:rsidRPr="00E232AB">
        <w:rPr>
          <w:b/>
          <w:bCs/>
        </w:rPr>
        <w:t>90</w:t>
      </w:r>
      <w:r w:rsidRPr="00E232AB">
        <w:t>, 133–142 (2011).</w:t>
      </w:r>
    </w:p>
    <w:p w14:paraId="6623F16B" w14:textId="77777777" w:rsidR="00E232AB" w:rsidRPr="00E232AB" w:rsidRDefault="00E232AB" w:rsidP="000D3216">
      <w:pPr>
        <w:pStyle w:val="Acknowledgement"/>
        <w:spacing w:line="480" w:lineRule="auto"/>
        <w:ind w:firstLine="0"/>
      </w:pPr>
      <w:r w:rsidRPr="00E232AB">
        <w:lastRenderedPageBreak/>
        <w:t>16.</w:t>
      </w:r>
      <w:r w:rsidRPr="00E232AB">
        <w:tab/>
        <w:t xml:space="preserve">N. P. </w:t>
      </w:r>
      <w:proofErr w:type="spellStart"/>
      <w:r w:rsidRPr="00E232AB">
        <w:t>Tatonetti</w:t>
      </w:r>
      <w:proofErr w:type="spellEnd"/>
      <w:r w:rsidRPr="00E232AB">
        <w:t xml:space="preserve">, G. H. Fernald, R. B. Altman, A novel signal detection algorithm for identifying hidden drug-drug interactions in adverse event reports. </w:t>
      </w:r>
      <w:r w:rsidRPr="00E232AB">
        <w:rPr>
          <w:i/>
          <w:iCs/>
        </w:rPr>
        <w:t>J Am Med Inform Assoc</w:t>
      </w:r>
      <w:r w:rsidRPr="00E232AB">
        <w:t xml:space="preserve">. </w:t>
      </w:r>
      <w:r w:rsidRPr="00E232AB">
        <w:rPr>
          <w:b/>
          <w:bCs/>
        </w:rPr>
        <w:t>19</w:t>
      </w:r>
      <w:r w:rsidRPr="00E232AB">
        <w:t>, 79–85 (2012).</w:t>
      </w:r>
    </w:p>
    <w:p w14:paraId="0BF17EED" w14:textId="77777777" w:rsidR="00E232AB" w:rsidRPr="00E232AB" w:rsidRDefault="00E232AB" w:rsidP="000D3216">
      <w:pPr>
        <w:pStyle w:val="Acknowledgement"/>
        <w:spacing w:line="480" w:lineRule="auto"/>
        <w:ind w:firstLine="0"/>
      </w:pPr>
      <w:r w:rsidRPr="00E232AB">
        <w:t>17.</w:t>
      </w:r>
      <w:r w:rsidRPr="00E232AB">
        <w:tab/>
        <w:t xml:space="preserve">B. </w:t>
      </w:r>
      <w:proofErr w:type="spellStart"/>
      <w:r w:rsidRPr="00E232AB">
        <w:t>Ozogul</w:t>
      </w:r>
      <w:proofErr w:type="spellEnd"/>
      <w:r w:rsidRPr="00E232AB">
        <w:t xml:space="preserve">, Z. </w:t>
      </w:r>
      <w:proofErr w:type="spellStart"/>
      <w:r w:rsidRPr="00E232AB">
        <w:t>Halici</w:t>
      </w:r>
      <w:proofErr w:type="spellEnd"/>
      <w:r w:rsidRPr="00E232AB">
        <w:t xml:space="preserve">, E. </w:t>
      </w:r>
      <w:proofErr w:type="spellStart"/>
      <w:r w:rsidRPr="00E232AB">
        <w:t>Cadirci</w:t>
      </w:r>
      <w:proofErr w:type="spellEnd"/>
      <w:r w:rsidRPr="00E232AB">
        <w:t xml:space="preserve">, E. </w:t>
      </w:r>
      <w:proofErr w:type="spellStart"/>
      <w:r w:rsidRPr="00E232AB">
        <w:t>Karagoz</w:t>
      </w:r>
      <w:proofErr w:type="spellEnd"/>
      <w:r w:rsidRPr="00E232AB">
        <w:t xml:space="preserve">, Z. </w:t>
      </w:r>
      <w:proofErr w:type="spellStart"/>
      <w:r w:rsidRPr="00E232AB">
        <w:t>Bayraktutan</w:t>
      </w:r>
      <w:proofErr w:type="spellEnd"/>
      <w:r w:rsidRPr="00E232AB">
        <w:t xml:space="preserve">, M. </w:t>
      </w:r>
      <w:proofErr w:type="spellStart"/>
      <w:r w:rsidRPr="00E232AB">
        <w:t>Yayla</w:t>
      </w:r>
      <w:proofErr w:type="spellEnd"/>
      <w:r w:rsidRPr="00E232AB">
        <w:t xml:space="preserve">, E. </w:t>
      </w:r>
      <w:proofErr w:type="spellStart"/>
      <w:r w:rsidRPr="00E232AB">
        <w:t>Akpinar</w:t>
      </w:r>
      <w:proofErr w:type="spellEnd"/>
      <w:r w:rsidRPr="00E232AB">
        <w:t xml:space="preserve">, S. S. </w:t>
      </w:r>
      <w:proofErr w:type="spellStart"/>
      <w:r w:rsidRPr="00E232AB">
        <w:t>Atamanalp</w:t>
      </w:r>
      <w:proofErr w:type="spellEnd"/>
      <w:r w:rsidRPr="00E232AB">
        <w:t xml:space="preserve">, D. </w:t>
      </w:r>
      <w:proofErr w:type="spellStart"/>
      <w:r w:rsidRPr="00E232AB">
        <w:t>Unal</w:t>
      </w:r>
      <w:proofErr w:type="spellEnd"/>
      <w:r w:rsidRPr="00E232AB">
        <w:t xml:space="preserve">, M. </w:t>
      </w:r>
      <w:proofErr w:type="spellStart"/>
      <w:r w:rsidRPr="00E232AB">
        <w:t>Karamese</w:t>
      </w:r>
      <w:proofErr w:type="spellEnd"/>
      <w:r w:rsidRPr="00E232AB">
        <w:t xml:space="preserve">, Comparative study on effects of nebulized and oral salbutamol on a cecal ligation and puncture-induced sepsis model in rats. </w:t>
      </w:r>
      <w:r w:rsidRPr="00E232AB">
        <w:rPr>
          <w:i/>
          <w:iCs/>
        </w:rPr>
        <w:t>Drug Res (</w:t>
      </w:r>
      <w:proofErr w:type="spellStart"/>
      <w:r w:rsidRPr="00E232AB">
        <w:rPr>
          <w:i/>
          <w:iCs/>
        </w:rPr>
        <w:t>Stuttg</w:t>
      </w:r>
      <w:proofErr w:type="spellEnd"/>
      <w:r w:rsidRPr="00E232AB">
        <w:rPr>
          <w:i/>
          <w:iCs/>
        </w:rPr>
        <w:t>)</w:t>
      </w:r>
      <w:r w:rsidRPr="00E232AB">
        <w:t xml:space="preserve">. </w:t>
      </w:r>
      <w:r w:rsidRPr="00E232AB">
        <w:rPr>
          <w:b/>
          <w:bCs/>
        </w:rPr>
        <w:t>65</w:t>
      </w:r>
      <w:r w:rsidRPr="00E232AB">
        <w:t>, 192–198 (2015).</w:t>
      </w:r>
    </w:p>
    <w:p w14:paraId="4A9EF089" w14:textId="77777777" w:rsidR="00E232AB" w:rsidRPr="00E232AB" w:rsidRDefault="00E232AB" w:rsidP="000D3216">
      <w:pPr>
        <w:pStyle w:val="Acknowledgement"/>
        <w:spacing w:line="480" w:lineRule="auto"/>
        <w:ind w:firstLine="0"/>
      </w:pPr>
      <w:r w:rsidRPr="00E232AB">
        <w:t>18.</w:t>
      </w:r>
      <w:r w:rsidRPr="00E232AB">
        <w:tab/>
        <w:t xml:space="preserve">N. P. </w:t>
      </w:r>
      <w:proofErr w:type="spellStart"/>
      <w:r w:rsidRPr="00E232AB">
        <w:t>Tatonetti</w:t>
      </w:r>
      <w:proofErr w:type="spellEnd"/>
      <w:r w:rsidRPr="00E232AB">
        <w:t xml:space="preserve">, P. P. Ye, R. </w:t>
      </w:r>
      <w:proofErr w:type="spellStart"/>
      <w:r w:rsidRPr="00E232AB">
        <w:t>Daneshjou</w:t>
      </w:r>
      <w:proofErr w:type="spellEnd"/>
      <w:r w:rsidRPr="00E232AB">
        <w:t xml:space="preserve">, R. B. Altman, Data-driven prediction of drug effects and interactions. </w:t>
      </w:r>
      <w:r w:rsidRPr="00E232AB">
        <w:rPr>
          <w:i/>
          <w:iCs/>
        </w:rPr>
        <w:t xml:space="preserve">Sci </w:t>
      </w:r>
      <w:proofErr w:type="spellStart"/>
      <w:r w:rsidRPr="00E232AB">
        <w:rPr>
          <w:i/>
          <w:iCs/>
        </w:rPr>
        <w:t>Transl</w:t>
      </w:r>
      <w:proofErr w:type="spellEnd"/>
      <w:r w:rsidRPr="00E232AB">
        <w:rPr>
          <w:i/>
          <w:iCs/>
        </w:rPr>
        <w:t xml:space="preserve"> Med</w:t>
      </w:r>
      <w:r w:rsidRPr="00E232AB">
        <w:t xml:space="preserve">. </w:t>
      </w:r>
      <w:r w:rsidRPr="00E232AB">
        <w:rPr>
          <w:b/>
          <w:bCs/>
        </w:rPr>
        <w:t>4</w:t>
      </w:r>
      <w:r w:rsidRPr="00E232AB">
        <w:t>, 125ra31–125ra31 (2012).</w:t>
      </w:r>
    </w:p>
    <w:p w14:paraId="4E7E9894" w14:textId="77777777" w:rsidR="00E232AB" w:rsidRPr="00E232AB" w:rsidRDefault="00E232AB" w:rsidP="000D3216">
      <w:pPr>
        <w:pStyle w:val="Acknowledgement"/>
        <w:spacing w:line="480" w:lineRule="auto"/>
        <w:ind w:firstLine="0"/>
      </w:pPr>
      <w:r w:rsidRPr="00E232AB">
        <w:t>19.</w:t>
      </w:r>
      <w:r w:rsidRPr="00E232AB">
        <w:tab/>
        <w:t xml:space="preserve">E. A. Voss, Q. Ma, P. B. Ryan, </w:t>
      </w:r>
      <w:proofErr w:type="gramStart"/>
      <w:r w:rsidRPr="00E232AB">
        <w:t>The</w:t>
      </w:r>
      <w:proofErr w:type="gramEnd"/>
      <w:r w:rsidRPr="00E232AB">
        <w:t xml:space="preserve"> impact of standardizing the definition of visits on the consistency of multi-database observational health research. </w:t>
      </w:r>
      <w:r w:rsidRPr="00E232AB">
        <w:rPr>
          <w:i/>
          <w:iCs/>
        </w:rPr>
        <w:t xml:space="preserve">BMC Med Res </w:t>
      </w:r>
      <w:proofErr w:type="spellStart"/>
      <w:r w:rsidRPr="00E232AB">
        <w:rPr>
          <w:i/>
          <w:iCs/>
        </w:rPr>
        <w:t>Methodol</w:t>
      </w:r>
      <w:proofErr w:type="spellEnd"/>
      <w:r w:rsidRPr="00E232AB">
        <w:t xml:space="preserve">. </w:t>
      </w:r>
      <w:r w:rsidRPr="00E232AB">
        <w:rPr>
          <w:b/>
          <w:bCs/>
        </w:rPr>
        <w:t>15</w:t>
      </w:r>
      <w:r w:rsidRPr="00E232AB">
        <w:t>, 13–10 (2015).</w:t>
      </w:r>
    </w:p>
    <w:p w14:paraId="69B03350" w14:textId="77777777" w:rsidR="00E232AB" w:rsidRPr="00E232AB" w:rsidRDefault="00E232AB" w:rsidP="000D3216">
      <w:pPr>
        <w:pStyle w:val="Acknowledgement"/>
        <w:spacing w:line="480" w:lineRule="auto"/>
        <w:ind w:firstLine="0"/>
      </w:pPr>
      <w:r w:rsidRPr="00E232AB">
        <w:t>20.</w:t>
      </w:r>
      <w:r w:rsidRPr="00E232AB">
        <w:tab/>
        <w:t xml:space="preserve">M. A. </w:t>
      </w:r>
      <w:proofErr w:type="spellStart"/>
      <w:r w:rsidRPr="00E232AB">
        <w:t>Suchard</w:t>
      </w:r>
      <w:proofErr w:type="spellEnd"/>
      <w:r w:rsidRPr="00E232AB">
        <w:t xml:space="preserve">, M. J. </w:t>
      </w:r>
      <w:proofErr w:type="spellStart"/>
      <w:r w:rsidRPr="00E232AB">
        <w:t>Schuemie</w:t>
      </w:r>
      <w:proofErr w:type="spellEnd"/>
      <w:r w:rsidRPr="00E232AB">
        <w:t xml:space="preserve">, H. M. </w:t>
      </w:r>
      <w:proofErr w:type="spellStart"/>
      <w:r w:rsidRPr="00E232AB">
        <w:t>Krumholz</w:t>
      </w:r>
      <w:proofErr w:type="spellEnd"/>
      <w:r w:rsidRPr="00E232AB">
        <w:t xml:space="preserve">, S. C. You, R. Chen, N. Pratt, C. G. Reich, J. Duke, D. Madigan, G. </w:t>
      </w:r>
      <w:proofErr w:type="spellStart"/>
      <w:r w:rsidRPr="00E232AB">
        <w:t>Hripcsak</w:t>
      </w:r>
      <w:proofErr w:type="spellEnd"/>
      <w:r w:rsidRPr="00E232AB">
        <w:t xml:space="preserve">, P. B. Ryan, Comprehensive comparative effectiveness and safety of first-line antihypertensive drug classes: a systematic, multinational, large-scale analysis. </w:t>
      </w:r>
      <w:r w:rsidRPr="00E232AB">
        <w:rPr>
          <w:i/>
          <w:iCs/>
        </w:rPr>
        <w:t>Lancet</w:t>
      </w:r>
      <w:r w:rsidRPr="00E232AB">
        <w:t xml:space="preserve">. </w:t>
      </w:r>
      <w:r w:rsidRPr="00E232AB">
        <w:rPr>
          <w:b/>
          <w:bCs/>
        </w:rPr>
        <w:t>394</w:t>
      </w:r>
      <w:r w:rsidRPr="00E232AB">
        <w:t>, 1816–1826 (2019).</w:t>
      </w:r>
    </w:p>
    <w:p w14:paraId="27AD8431" w14:textId="77777777" w:rsidR="00E232AB" w:rsidRPr="00E232AB" w:rsidRDefault="00E232AB" w:rsidP="000D3216">
      <w:pPr>
        <w:pStyle w:val="Acknowledgement"/>
        <w:spacing w:line="480" w:lineRule="auto"/>
        <w:ind w:firstLine="0"/>
      </w:pPr>
      <w:r w:rsidRPr="00E232AB">
        <w:t>21.</w:t>
      </w:r>
      <w:r w:rsidRPr="00E232AB">
        <w:tab/>
        <w:t xml:space="preserve">G. </w:t>
      </w:r>
      <w:proofErr w:type="spellStart"/>
      <w:r w:rsidRPr="00E232AB">
        <w:t>Hripcsak</w:t>
      </w:r>
      <w:proofErr w:type="spellEnd"/>
      <w:r w:rsidRPr="00E232AB">
        <w:t xml:space="preserve">, M. A. </w:t>
      </w:r>
      <w:proofErr w:type="spellStart"/>
      <w:r w:rsidRPr="00E232AB">
        <w:t>Suchard</w:t>
      </w:r>
      <w:proofErr w:type="spellEnd"/>
      <w:r w:rsidRPr="00E232AB">
        <w:t xml:space="preserve">, S. Shea, R. Chen, S. C. You, N. Pratt, D. Madigan, H. M. </w:t>
      </w:r>
      <w:proofErr w:type="spellStart"/>
      <w:r w:rsidRPr="00E232AB">
        <w:t>Krumholz</w:t>
      </w:r>
      <w:proofErr w:type="spellEnd"/>
      <w:r w:rsidRPr="00E232AB">
        <w:t xml:space="preserve">, P. B. Ryan, M. J. </w:t>
      </w:r>
      <w:proofErr w:type="spellStart"/>
      <w:r w:rsidRPr="00E232AB">
        <w:t>Schuemie</w:t>
      </w:r>
      <w:proofErr w:type="spellEnd"/>
      <w:r w:rsidRPr="00E232AB">
        <w:t xml:space="preserve">, Comparison of Cardiovascular and Safety Outcomes of Chlorthalidone vs Hydrochlorothiazide to Treat Hypertension. </w:t>
      </w:r>
      <w:r w:rsidRPr="00E232AB">
        <w:rPr>
          <w:i/>
          <w:iCs/>
        </w:rPr>
        <w:t>JAMA Intern Med</w:t>
      </w:r>
      <w:r w:rsidRPr="00E232AB">
        <w:t xml:space="preserve">. </w:t>
      </w:r>
      <w:r w:rsidRPr="00E232AB">
        <w:rPr>
          <w:b/>
          <w:bCs/>
        </w:rPr>
        <w:t>180</w:t>
      </w:r>
      <w:r w:rsidRPr="00E232AB">
        <w:t>, 542–551 (2020).</w:t>
      </w:r>
    </w:p>
    <w:p w14:paraId="46B51681" w14:textId="77777777" w:rsidR="00E232AB" w:rsidRPr="00E232AB" w:rsidRDefault="00E232AB" w:rsidP="000D3216">
      <w:pPr>
        <w:pStyle w:val="Acknowledgement"/>
        <w:spacing w:line="480" w:lineRule="auto"/>
        <w:ind w:firstLine="0"/>
      </w:pPr>
      <w:r w:rsidRPr="00E232AB">
        <w:lastRenderedPageBreak/>
        <w:t>22.</w:t>
      </w:r>
      <w:r w:rsidRPr="00E232AB">
        <w:tab/>
        <w:t xml:space="preserve">J. S. </w:t>
      </w:r>
      <w:proofErr w:type="spellStart"/>
      <w:r w:rsidRPr="00E232AB">
        <w:t>Sekhon</w:t>
      </w:r>
      <w:proofErr w:type="spellEnd"/>
      <w:r w:rsidRPr="00E232AB">
        <w:t xml:space="preserve">., Multivariate and Propensity Score Matching Software with Automated Balance Optimization: The Matching package for R. </w:t>
      </w:r>
      <w:r w:rsidRPr="00E232AB">
        <w:rPr>
          <w:i/>
          <w:iCs/>
        </w:rPr>
        <w:t xml:space="preserve">Jour of Statistical Soft. </w:t>
      </w:r>
      <w:r w:rsidRPr="00E232AB">
        <w:rPr>
          <w:b/>
          <w:bCs/>
        </w:rPr>
        <w:t>42</w:t>
      </w:r>
      <w:r w:rsidRPr="00E232AB">
        <w:t>, 1-52 (2011).</w:t>
      </w:r>
    </w:p>
    <w:p w14:paraId="2C2D3060" w14:textId="77777777" w:rsidR="00E232AB" w:rsidRPr="00E232AB" w:rsidRDefault="00E232AB" w:rsidP="000D3216">
      <w:pPr>
        <w:pStyle w:val="Acknowledgement"/>
        <w:spacing w:line="480" w:lineRule="auto"/>
        <w:ind w:firstLine="0"/>
      </w:pPr>
      <w:r w:rsidRPr="00E232AB">
        <w:t>23.</w:t>
      </w:r>
      <w:r w:rsidRPr="00E232AB">
        <w:tab/>
        <w:t xml:space="preserve">W. Tian, S. G. </w:t>
      </w:r>
      <w:proofErr w:type="spellStart"/>
      <w:r w:rsidRPr="00E232AB">
        <w:t>Rockson</w:t>
      </w:r>
      <w:proofErr w:type="spellEnd"/>
      <w:r w:rsidRPr="00E232AB">
        <w:t xml:space="preserve">, X. Jiang, J. Kim, A. Begaye, E. M. Shuffle, A. B. Tu, M. Cribb, Z. </w:t>
      </w:r>
      <w:proofErr w:type="spellStart"/>
      <w:r w:rsidRPr="00E232AB">
        <w:t>Nepiyushchikh</w:t>
      </w:r>
      <w:proofErr w:type="spellEnd"/>
      <w:r w:rsidRPr="00E232AB">
        <w:t xml:space="preserve">, A. H. </w:t>
      </w:r>
      <w:proofErr w:type="spellStart"/>
      <w:r w:rsidRPr="00E232AB">
        <w:t>Feroze</w:t>
      </w:r>
      <w:proofErr w:type="spellEnd"/>
      <w:r w:rsidRPr="00E232AB">
        <w:t xml:space="preserve">, R. T. </w:t>
      </w:r>
      <w:proofErr w:type="spellStart"/>
      <w:r w:rsidRPr="00E232AB">
        <w:t>Zamanian</w:t>
      </w:r>
      <w:proofErr w:type="spellEnd"/>
      <w:r w:rsidRPr="00E232AB">
        <w:t xml:space="preserve">, G. S. Dhillon, N. F. </w:t>
      </w:r>
      <w:proofErr w:type="spellStart"/>
      <w:r w:rsidRPr="00E232AB">
        <w:t>Voelkel</w:t>
      </w:r>
      <w:proofErr w:type="spellEnd"/>
      <w:r w:rsidRPr="00E232AB">
        <w:t xml:space="preserve">, M. Peters-Golden, J. </w:t>
      </w:r>
      <w:proofErr w:type="spellStart"/>
      <w:r w:rsidRPr="00E232AB">
        <w:t>Kitajewski</w:t>
      </w:r>
      <w:proofErr w:type="spellEnd"/>
      <w:r w:rsidRPr="00E232AB">
        <w:t xml:space="preserve">, J. B. Dixon, M. R. Nicolls, Leukotriene B4antagonism ameliorates experimental lymphedema. </w:t>
      </w:r>
      <w:r w:rsidRPr="00E232AB">
        <w:rPr>
          <w:i/>
          <w:iCs/>
        </w:rPr>
        <w:t xml:space="preserve">Sci </w:t>
      </w:r>
      <w:proofErr w:type="spellStart"/>
      <w:r w:rsidRPr="00E232AB">
        <w:rPr>
          <w:i/>
          <w:iCs/>
        </w:rPr>
        <w:t>Transl</w:t>
      </w:r>
      <w:proofErr w:type="spellEnd"/>
      <w:r w:rsidRPr="00E232AB">
        <w:rPr>
          <w:i/>
          <w:iCs/>
        </w:rPr>
        <w:t xml:space="preserve"> Med</w:t>
      </w:r>
      <w:r w:rsidRPr="00E232AB">
        <w:t>. </w:t>
      </w:r>
      <w:r w:rsidRPr="00E232AB">
        <w:rPr>
          <w:b/>
          <w:bCs/>
        </w:rPr>
        <w:t>9</w:t>
      </w:r>
      <w:r w:rsidRPr="00E232AB">
        <w:t>, eaal3920 (2017).</w:t>
      </w:r>
    </w:p>
    <w:p w14:paraId="5CA5A0B9" w14:textId="77777777" w:rsidR="00E232AB" w:rsidRPr="00E232AB" w:rsidRDefault="00E232AB" w:rsidP="000D3216">
      <w:pPr>
        <w:pStyle w:val="Acknowledgement"/>
        <w:spacing w:line="480" w:lineRule="auto"/>
        <w:ind w:firstLine="0"/>
      </w:pPr>
      <w:r w:rsidRPr="00E232AB">
        <w:t>24.</w:t>
      </w:r>
      <w:r w:rsidRPr="00E232AB">
        <w:tab/>
        <w:t xml:space="preserve">A. </w:t>
      </w:r>
      <w:proofErr w:type="spellStart"/>
      <w:r w:rsidRPr="00E232AB">
        <w:t>Rollstin</w:t>
      </w:r>
      <w:proofErr w:type="spellEnd"/>
      <w:r w:rsidRPr="00E232AB">
        <w:t xml:space="preserve">, M. C. Carey, G. Doherty, I. Tawil, J. </w:t>
      </w:r>
      <w:proofErr w:type="spellStart"/>
      <w:r w:rsidRPr="00E232AB">
        <w:t>Marinaro</w:t>
      </w:r>
      <w:proofErr w:type="spellEnd"/>
      <w:r w:rsidRPr="00E232AB">
        <w:t xml:space="preserve">, Oral albuterol to treat symptomatic bradycardia in acute spinal cord injury. </w:t>
      </w:r>
      <w:r w:rsidRPr="00E232AB">
        <w:rPr>
          <w:i/>
          <w:iCs/>
        </w:rPr>
        <w:t xml:space="preserve">Intern </w:t>
      </w:r>
      <w:proofErr w:type="spellStart"/>
      <w:r w:rsidRPr="00E232AB">
        <w:rPr>
          <w:i/>
          <w:iCs/>
        </w:rPr>
        <w:t>Emerg</w:t>
      </w:r>
      <w:proofErr w:type="spellEnd"/>
      <w:r w:rsidRPr="00E232AB">
        <w:rPr>
          <w:i/>
          <w:iCs/>
        </w:rPr>
        <w:t xml:space="preserve"> Med</w:t>
      </w:r>
      <w:r w:rsidRPr="00E232AB">
        <w:t xml:space="preserve">. </w:t>
      </w:r>
      <w:r w:rsidRPr="00E232AB">
        <w:rPr>
          <w:b/>
          <w:bCs/>
        </w:rPr>
        <w:t>11</w:t>
      </w:r>
      <w:r w:rsidRPr="00E232AB">
        <w:t>, 101–105 (2016).</w:t>
      </w:r>
    </w:p>
    <w:p w14:paraId="5913CED8" w14:textId="77777777" w:rsidR="00E232AB" w:rsidRPr="00E232AB" w:rsidRDefault="00E232AB" w:rsidP="000D3216">
      <w:pPr>
        <w:pStyle w:val="Acknowledgement"/>
        <w:spacing w:line="480" w:lineRule="auto"/>
        <w:ind w:firstLine="0"/>
      </w:pPr>
      <w:r w:rsidRPr="00E232AB">
        <w:t>25.</w:t>
      </w:r>
      <w:r w:rsidRPr="00E232AB">
        <w:tab/>
        <w:t xml:space="preserve">G. Ng, O. da Silva, A. Ohlsson, Bronchodilators for the prevention and treatment of chronic lung disease in preterm infants. </w:t>
      </w:r>
      <w:r w:rsidRPr="00E232AB">
        <w:rPr>
          <w:i/>
          <w:iCs/>
        </w:rPr>
        <w:t>Cochrane Database Syst Rev</w:t>
      </w:r>
      <w:r w:rsidRPr="00E232AB">
        <w:t xml:space="preserve">. </w:t>
      </w:r>
      <w:r w:rsidRPr="00E232AB">
        <w:rPr>
          <w:b/>
          <w:bCs/>
        </w:rPr>
        <w:t>12</w:t>
      </w:r>
      <w:r w:rsidRPr="00E232AB">
        <w:t>, CD003214 (2016).</w:t>
      </w:r>
    </w:p>
    <w:p w14:paraId="67F3150D" w14:textId="77777777" w:rsidR="00E232AB" w:rsidRPr="00E232AB" w:rsidRDefault="00E232AB" w:rsidP="000D3216">
      <w:pPr>
        <w:pStyle w:val="Acknowledgement"/>
        <w:spacing w:line="480" w:lineRule="auto"/>
        <w:ind w:firstLine="0"/>
      </w:pPr>
      <w:r w:rsidRPr="00E232AB">
        <w:t>26.</w:t>
      </w:r>
      <w:r w:rsidRPr="00E232AB">
        <w:tab/>
        <w:t xml:space="preserve">W. Y. Hung, O. A. </w:t>
      </w:r>
      <w:proofErr w:type="spellStart"/>
      <w:r w:rsidRPr="00E232AB">
        <w:t>Lanfranco</w:t>
      </w:r>
      <w:proofErr w:type="spellEnd"/>
      <w:r w:rsidRPr="00E232AB">
        <w:t xml:space="preserve">, Contemporary review of drug-induced pancreatitis: A different perspective. </w:t>
      </w:r>
      <w:r w:rsidRPr="00E232AB">
        <w:rPr>
          <w:i/>
          <w:iCs/>
        </w:rPr>
        <w:t xml:space="preserve">World J </w:t>
      </w:r>
      <w:proofErr w:type="spellStart"/>
      <w:r w:rsidRPr="00E232AB">
        <w:rPr>
          <w:i/>
          <w:iCs/>
        </w:rPr>
        <w:t>Gastrointest</w:t>
      </w:r>
      <w:proofErr w:type="spellEnd"/>
      <w:r w:rsidRPr="00E232AB">
        <w:rPr>
          <w:i/>
          <w:iCs/>
        </w:rPr>
        <w:t xml:space="preserve"> </w:t>
      </w:r>
      <w:proofErr w:type="spellStart"/>
      <w:r w:rsidRPr="00E232AB">
        <w:rPr>
          <w:i/>
          <w:iCs/>
        </w:rPr>
        <w:t>Pathophysiol</w:t>
      </w:r>
      <w:proofErr w:type="spellEnd"/>
      <w:r w:rsidRPr="00E232AB">
        <w:t xml:space="preserve">. </w:t>
      </w:r>
      <w:r w:rsidRPr="00E232AB">
        <w:rPr>
          <w:b/>
          <w:bCs/>
        </w:rPr>
        <w:t>5</w:t>
      </w:r>
      <w:r w:rsidRPr="00E232AB">
        <w:t>, 405–415 (2014).</w:t>
      </w:r>
    </w:p>
    <w:p w14:paraId="737B72BB" w14:textId="77777777" w:rsidR="00E232AB" w:rsidRPr="00E232AB" w:rsidRDefault="00E232AB" w:rsidP="000D3216">
      <w:pPr>
        <w:pStyle w:val="Acknowledgement"/>
        <w:spacing w:line="480" w:lineRule="auto"/>
        <w:ind w:firstLine="0"/>
      </w:pPr>
      <w:r w:rsidRPr="00E232AB">
        <w:t>27.</w:t>
      </w:r>
      <w:r w:rsidRPr="00E232AB">
        <w:tab/>
        <w:t xml:space="preserve">P. </w:t>
      </w:r>
      <w:proofErr w:type="spellStart"/>
      <w:r w:rsidRPr="00E232AB">
        <w:t>Audia</w:t>
      </w:r>
      <w:proofErr w:type="spellEnd"/>
      <w:r w:rsidRPr="00E232AB">
        <w:t xml:space="preserve">, D. A. </w:t>
      </w:r>
      <w:proofErr w:type="spellStart"/>
      <w:r w:rsidRPr="00E232AB">
        <w:t>Feinfeld</w:t>
      </w:r>
      <w:proofErr w:type="spellEnd"/>
      <w:r w:rsidRPr="00E232AB">
        <w:t xml:space="preserve">, A. Dubrow, J. F. Winchester, Metformin-induced lactic </w:t>
      </w:r>
      <w:proofErr w:type="gramStart"/>
      <w:r w:rsidRPr="00E232AB">
        <w:t>acidosis</w:t>
      </w:r>
      <w:proofErr w:type="gramEnd"/>
      <w:r w:rsidRPr="00E232AB">
        <w:t xml:space="preserve"> and acute pancreatitis precipitated by diuretic, celecoxib, and candesartan-associated acute kidney dysfunction. </w:t>
      </w:r>
      <w:r w:rsidRPr="00E232AB">
        <w:rPr>
          <w:i/>
          <w:iCs/>
        </w:rPr>
        <w:t xml:space="preserve">Clin </w:t>
      </w:r>
      <w:proofErr w:type="spellStart"/>
      <w:r w:rsidRPr="00E232AB">
        <w:rPr>
          <w:i/>
          <w:iCs/>
        </w:rPr>
        <w:t>Toxicol</w:t>
      </w:r>
      <w:proofErr w:type="spellEnd"/>
      <w:r w:rsidRPr="00E232AB">
        <w:rPr>
          <w:i/>
          <w:iCs/>
        </w:rPr>
        <w:t xml:space="preserve"> (Phila)</w:t>
      </w:r>
      <w:r w:rsidRPr="00E232AB">
        <w:t xml:space="preserve">. </w:t>
      </w:r>
      <w:r w:rsidRPr="00E232AB">
        <w:rPr>
          <w:b/>
          <w:bCs/>
        </w:rPr>
        <w:t>46</w:t>
      </w:r>
      <w:r w:rsidRPr="00E232AB">
        <w:t>, 164–166 (2008).</w:t>
      </w:r>
    </w:p>
    <w:p w14:paraId="61ED560F" w14:textId="77777777" w:rsidR="00E232AB" w:rsidRPr="00E232AB" w:rsidRDefault="00E232AB" w:rsidP="000D3216">
      <w:pPr>
        <w:pStyle w:val="Acknowledgement"/>
        <w:spacing w:line="480" w:lineRule="auto"/>
        <w:ind w:firstLine="0"/>
      </w:pPr>
      <w:r w:rsidRPr="00E232AB">
        <w:t>28.</w:t>
      </w:r>
      <w:r w:rsidRPr="00E232AB">
        <w:tab/>
        <w:t xml:space="preserve">E. Steinberg, K. Jung, J. A. Fries, C. K. Corbin, S. R. </w:t>
      </w:r>
      <w:proofErr w:type="spellStart"/>
      <w:r w:rsidRPr="00E232AB">
        <w:t>Pfohl</w:t>
      </w:r>
      <w:proofErr w:type="spellEnd"/>
      <w:r w:rsidRPr="00E232AB">
        <w:t xml:space="preserve">, N. H. Shah, Language models are an effective representation learning technique for electronic health record data. </w:t>
      </w:r>
      <w:r w:rsidRPr="00E232AB">
        <w:rPr>
          <w:i/>
          <w:iCs/>
        </w:rPr>
        <w:t>J of Biomed Inform.</w:t>
      </w:r>
      <w:r w:rsidRPr="00E232AB">
        <w:rPr>
          <w:b/>
          <w:bCs/>
        </w:rPr>
        <w:t xml:space="preserve"> 113</w:t>
      </w:r>
      <w:r w:rsidRPr="00E232AB">
        <w:t>, 103637 (2021).</w:t>
      </w:r>
    </w:p>
    <w:p w14:paraId="690B6D77" w14:textId="77777777" w:rsidR="00E232AB" w:rsidRPr="00E232AB" w:rsidRDefault="00E232AB" w:rsidP="000D3216">
      <w:pPr>
        <w:pStyle w:val="Acknowledgement"/>
        <w:spacing w:line="480" w:lineRule="auto"/>
        <w:ind w:firstLine="0"/>
      </w:pPr>
      <w:r w:rsidRPr="00E232AB">
        <w:lastRenderedPageBreak/>
        <w:t>29.</w:t>
      </w:r>
      <w:r w:rsidRPr="00E232AB">
        <w:tab/>
        <w:t xml:space="preserve">M. Bansal, J. Yang, C. Karan, M. P. Menden, J. C. Costello, H. Tang, G. Xiao, Y. Li, J. Allen, R. Zhong, B. Chen, M. Kim, T. Wang, L. M. </w:t>
      </w:r>
      <w:proofErr w:type="spellStart"/>
      <w:r w:rsidRPr="00E232AB">
        <w:t>Heiser</w:t>
      </w:r>
      <w:proofErr w:type="spellEnd"/>
      <w:r w:rsidRPr="00E232AB">
        <w:t xml:space="preserve">, R. </w:t>
      </w:r>
      <w:proofErr w:type="spellStart"/>
      <w:r w:rsidRPr="00E232AB">
        <w:t>Realubit</w:t>
      </w:r>
      <w:proofErr w:type="spellEnd"/>
      <w:r w:rsidRPr="00E232AB">
        <w:t xml:space="preserve">, M. Mattioli, M. J. Alvarez, Y. Shen, D. </w:t>
      </w:r>
      <w:proofErr w:type="spellStart"/>
      <w:r w:rsidRPr="00E232AB">
        <w:t>Gallahan</w:t>
      </w:r>
      <w:proofErr w:type="spellEnd"/>
      <w:r w:rsidRPr="00E232AB">
        <w:t xml:space="preserve">, D. Singer, J. </w:t>
      </w:r>
      <w:proofErr w:type="spellStart"/>
      <w:r w:rsidRPr="00E232AB">
        <w:t>Saez</w:t>
      </w:r>
      <w:proofErr w:type="spellEnd"/>
      <w:r w:rsidRPr="00E232AB">
        <w:t xml:space="preserve">-Rodriguez, Y. Xie, G. </w:t>
      </w:r>
      <w:proofErr w:type="spellStart"/>
      <w:r w:rsidRPr="00E232AB">
        <w:t>Stolovitzky</w:t>
      </w:r>
      <w:proofErr w:type="spellEnd"/>
      <w:r w:rsidRPr="00E232AB">
        <w:t xml:space="preserve">, A. </w:t>
      </w:r>
      <w:proofErr w:type="spellStart"/>
      <w:r w:rsidRPr="00E232AB">
        <w:t>Califano</w:t>
      </w:r>
      <w:proofErr w:type="spellEnd"/>
      <w:r w:rsidRPr="00E232AB">
        <w:t xml:space="preserve">, A community computational challenge to predict the activity of pairs of compounds. </w:t>
      </w:r>
      <w:r w:rsidRPr="00E232AB">
        <w:rPr>
          <w:i/>
          <w:iCs/>
        </w:rPr>
        <w:t>Nature Biotechnology</w:t>
      </w:r>
      <w:r w:rsidRPr="00E232AB">
        <w:t xml:space="preserve">. </w:t>
      </w:r>
      <w:r w:rsidRPr="00E232AB">
        <w:rPr>
          <w:b/>
          <w:bCs/>
        </w:rPr>
        <w:t>32</w:t>
      </w:r>
      <w:r w:rsidRPr="00E232AB">
        <w:t>, 1213–1222 (2014).</w:t>
      </w:r>
    </w:p>
    <w:p w14:paraId="76735D45" w14:textId="77777777" w:rsidR="00E232AB" w:rsidRPr="00E232AB" w:rsidRDefault="00E232AB" w:rsidP="000D3216">
      <w:pPr>
        <w:pStyle w:val="Acknowledgement"/>
        <w:spacing w:line="480" w:lineRule="auto"/>
        <w:ind w:firstLine="0"/>
      </w:pPr>
      <w:r w:rsidRPr="00E232AB">
        <w:t>30.</w:t>
      </w:r>
      <w:r w:rsidRPr="00E232AB">
        <w:tab/>
        <w:t xml:space="preserve">M. P. Menden, D. Wang, M. J. Mason, B. </w:t>
      </w:r>
      <w:proofErr w:type="spellStart"/>
      <w:r w:rsidRPr="00E232AB">
        <w:t>Szalai</w:t>
      </w:r>
      <w:proofErr w:type="spellEnd"/>
      <w:r w:rsidRPr="00E232AB">
        <w:t xml:space="preserve">, K. C. </w:t>
      </w:r>
      <w:proofErr w:type="spellStart"/>
      <w:r w:rsidRPr="00E232AB">
        <w:t>Bulusu</w:t>
      </w:r>
      <w:proofErr w:type="spellEnd"/>
      <w:r w:rsidRPr="00E232AB">
        <w:t xml:space="preserve">, Y. Guan, T. Yu, J. Kang, M. Jeon, R. </w:t>
      </w:r>
      <w:proofErr w:type="spellStart"/>
      <w:r w:rsidRPr="00E232AB">
        <w:t>Wolfinger</w:t>
      </w:r>
      <w:proofErr w:type="spellEnd"/>
      <w:r w:rsidRPr="00E232AB">
        <w:t xml:space="preserve">, T. Nguyen, M. </w:t>
      </w:r>
      <w:proofErr w:type="spellStart"/>
      <w:r w:rsidRPr="00E232AB">
        <w:t>Zaslavskiy</w:t>
      </w:r>
      <w:proofErr w:type="spellEnd"/>
      <w:r w:rsidRPr="00E232AB">
        <w:t xml:space="preserve">, J. </w:t>
      </w:r>
      <w:proofErr w:type="spellStart"/>
      <w:r w:rsidRPr="00E232AB">
        <w:t>Abante</w:t>
      </w:r>
      <w:proofErr w:type="spellEnd"/>
      <w:r w:rsidRPr="00E232AB">
        <w:t xml:space="preserve">, B. S. </w:t>
      </w:r>
      <w:proofErr w:type="spellStart"/>
      <w:r w:rsidRPr="00E232AB">
        <w:t>Abecassis</w:t>
      </w:r>
      <w:proofErr w:type="spellEnd"/>
      <w:r w:rsidRPr="00E232AB">
        <w:t xml:space="preserve">, N. </w:t>
      </w:r>
      <w:proofErr w:type="spellStart"/>
      <w:r w:rsidRPr="00E232AB">
        <w:t>Aben</w:t>
      </w:r>
      <w:proofErr w:type="spellEnd"/>
      <w:r w:rsidRPr="00E232AB">
        <w:t xml:space="preserve">, D. </w:t>
      </w:r>
      <w:proofErr w:type="spellStart"/>
      <w:r w:rsidRPr="00E232AB">
        <w:t>Aghamirzaie</w:t>
      </w:r>
      <w:proofErr w:type="spellEnd"/>
      <w:r w:rsidRPr="00E232AB">
        <w:t xml:space="preserve">, T. </w:t>
      </w:r>
      <w:proofErr w:type="spellStart"/>
      <w:r w:rsidRPr="00E232AB">
        <w:t>Aittokallio</w:t>
      </w:r>
      <w:proofErr w:type="spellEnd"/>
      <w:r w:rsidRPr="00E232AB">
        <w:t xml:space="preserve">, F. S. </w:t>
      </w:r>
      <w:proofErr w:type="spellStart"/>
      <w:r w:rsidRPr="00E232AB">
        <w:t>Akhtari</w:t>
      </w:r>
      <w:proofErr w:type="spellEnd"/>
      <w:r w:rsidRPr="00E232AB">
        <w:t>, B. Al-</w:t>
      </w:r>
      <w:proofErr w:type="spellStart"/>
      <w:r w:rsidRPr="00E232AB">
        <w:t>lazikani</w:t>
      </w:r>
      <w:proofErr w:type="spellEnd"/>
      <w:r w:rsidRPr="00E232AB">
        <w:t xml:space="preserve">, T. </w:t>
      </w:r>
      <w:proofErr w:type="spellStart"/>
      <w:r w:rsidRPr="00E232AB">
        <w:t>Alam</w:t>
      </w:r>
      <w:proofErr w:type="spellEnd"/>
      <w:r w:rsidRPr="00E232AB">
        <w:t xml:space="preserve">, A. Allam, C. Allen, M. P. de Almeida, D. </w:t>
      </w:r>
      <w:proofErr w:type="spellStart"/>
      <w:r w:rsidRPr="00E232AB">
        <w:t>Altarawy</w:t>
      </w:r>
      <w:proofErr w:type="spellEnd"/>
      <w:r w:rsidRPr="00E232AB">
        <w:t xml:space="preserve">, V. Alves, A. </w:t>
      </w:r>
      <w:proofErr w:type="spellStart"/>
      <w:r w:rsidRPr="00E232AB">
        <w:t>Amadoz</w:t>
      </w:r>
      <w:proofErr w:type="spellEnd"/>
      <w:r w:rsidRPr="00E232AB">
        <w:t xml:space="preserve">, B. </w:t>
      </w:r>
      <w:proofErr w:type="spellStart"/>
      <w:r w:rsidRPr="00E232AB">
        <w:t>Anchang</w:t>
      </w:r>
      <w:proofErr w:type="spellEnd"/>
      <w:r w:rsidRPr="00E232AB">
        <w:t>, A. A. Antolin, J. R. Ash, V. R. Aznar, W. Ba-</w:t>
      </w:r>
      <w:proofErr w:type="spellStart"/>
      <w:r w:rsidRPr="00E232AB">
        <w:t>alawi</w:t>
      </w:r>
      <w:proofErr w:type="spellEnd"/>
      <w:r w:rsidRPr="00E232AB">
        <w:t xml:space="preserve">, M. Bagheri, V. </w:t>
      </w:r>
      <w:proofErr w:type="spellStart"/>
      <w:r w:rsidRPr="00E232AB">
        <w:t>Bajic</w:t>
      </w:r>
      <w:proofErr w:type="spellEnd"/>
      <w:r w:rsidRPr="00E232AB">
        <w:t xml:space="preserve">, G. Ball, P. J. </w:t>
      </w:r>
      <w:proofErr w:type="spellStart"/>
      <w:r w:rsidRPr="00E232AB">
        <w:t>Ballester</w:t>
      </w:r>
      <w:proofErr w:type="spellEnd"/>
      <w:r w:rsidRPr="00E232AB">
        <w:t xml:space="preserve">, D. Baptista, C. Bare, M. Bateson, A. Bender, D. Bertrand, B. </w:t>
      </w:r>
      <w:proofErr w:type="spellStart"/>
      <w:r w:rsidRPr="00E232AB">
        <w:t>Wijayawardena</w:t>
      </w:r>
      <w:proofErr w:type="spellEnd"/>
      <w:r w:rsidRPr="00E232AB">
        <w:t xml:space="preserve">, K. A. </w:t>
      </w:r>
      <w:proofErr w:type="spellStart"/>
      <w:r w:rsidRPr="00E232AB">
        <w:t>Boroevich</w:t>
      </w:r>
      <w:proofErr w:type="spellEnd"/>
      <w:r w:rsidRPr="00E232AB">
        <w:t xml:space="preserve">, E. </w:t>
      </w:r>
      <w:proofErr w:type="spellStart"/>
      <w:r w:rsidRPr="00E232AB">
        <w:t>Bosdriesz</w:t>
      </w:r>
      <w:proofErr w:type="spellEnd"/>
      <w:r w:rsidRPr="00E232AB">
        <w:t xml:space="preserve">, S. </w:t>
      </w:r>
      <w:proofErr w:type="spellStart"/>
      <w:r w:rsidRPr="00E232AB">
        <w:t>Bougouffa</w:t>
      </w:r>
      <w:proofErr w:type="spellEnd"/>
      <w:r w:rsidRPr="00E232AB">
        <w:t xml:space="preserve">, G. </w:t>
      </w:r>
      <w:proofErr w:type="spellStart"/>
      <w:r w:rsidRPr="00E232AB">
        <w:t>Bounova</w:t>
      </w:r>
      <w:proofErr w:type="spellEnd"/>
      <w:r w:rsidRPr="00E232AB">
        <w:t xml:space="preserve">, T. Brouwer, B. Bryant, M. </w:t>
      </w:r>
      <w:proofErr w:type="spellStart"/>
      <w:r w:rsidRPr="00E232AB">
        <w:t>Calaza</w:t>
      </w:r>
      <w:proofErr w:type="spellEnd"/>
      <w:r w:rsidRPr="00E232AB">
        <w:t xml:space="preserve">, A. Calderone, S. </w:t>
      </w:r>
      <w:proofErr w:type="spellStart"/>
      <w:r w:rsidRPr="00E232AB">
        <w:t>Calza</w:t>
      </w:r>
      <w:proofErr w:type="spellEnd"/>
      <w:r w:rsidRPr="00E232AB">
        <w:t xml:space="preserve">, S. Capuzzi, J. </w:t>
      </w:r>
      <w:proofErr w:type="spellStart"/>
      <w:r w:rsidRPr="00E232AB">
        <w:t>Carbonell</w:t>
      </w:r>
      <w:proofErr w:type="spellEnd"/>
      <w:r w:rsidRPr="00E232AB">
        <w:t xml:space="preserve">-Caballero, D. Carlin, H. Carter, L. Castagnoli, R. </w:t>
      </w:r>
      <w:proofErr w:type="spellStart"/>
      <w:r w:rsidRPr="00E232AB">
        <w:t>Celebi</w:t>
      </w:r>
      <w:proofErr w:type="spellEnd"/>
      <w:r w:rsidRPr="00E232AB">
        <w:t xml:space="preserve">, G. </w:t>
      </w:r>
      <w:proofErr w:type="spellStart"/>
      <w:r w:rsidRPr="00E232AB">
        <w:t>Cesareni</w:t>
      </w:r>
      <w:proofErr w:type="spellEnd"/>
      <w:r w:rsidRPr="00E232AB">
        <w:t xml:space="preserve">, H. Chang, G. Chen, H. Chen, H. Chen, L. Cheng, A. </w:t>
      </w:r>
      <w:proofErr w:type="spellStart"/>
      <w:r w:rsidRPr="00E232AB">
        <w:t>Chernomoretz</w:t>
      </w:r>
      <w:proofErr w:type="spellEnd"/>
      <w:r w:rsidRPr="00E232AB">
        <w:t>, D. Chicco, K.-H. Cho, S. Cho, D. Choi, J. Choi, K. Choi, M. Choi, M. D. Cock, E. Coker, I. Cortes-</w:t>
      </w:r>
      <w:proofErr w:type="spellStart"/>
      <w:r w:rsidRPr="00E232AB">
        <w:t>Ciriano</w:t>
      </w:r>
      <w:proofErr w:type="spellEnd"/>
      <w:r w:rsidRPr="00E232AB">
        <w:t xml:space="preserve">, M. </w:t>
      </w:r>
      <w:proofErr w:type="spellStart"/>
      <w:r w:rsidRPr="00E232AB">
        <w:t>Cserzö</w:t>
      </w:r>
      <w:proofErr w:type="spellEnd"/>
      <w:r w:rsidRPr="00E232AB">
        <w:t xml:space="preserve">, C. </w:t>
      </w:r>
      <w:proofErr w:type="spellStart"/>
      <w:r w:rsidRPr="00E232AB">
        <w:t>Cubuk</w:t>
      </w:r>
      <w:proofErr w:type="spellEnd"/>
      <w:r w:rsidRPr="00E232AB">
        <w:t xml:space="preserve">, C. Curtis, D. V. </w:t>
      </w:r>
      <w:proofErr w:type="spellStart"/>
      <w:r w:rsidRPr="00E232AB">
        <w:t>Daele</w:t>
      </w:r>
      <w:proofErr w:type="spellEnd"/>
      <w:r w:rsidRPr="00E232AB">
        <w:t xml:space="preserve">, C. C. Dang, T. Dijkstra, J. </w:t>
      </w:r>
      <w:proofErr w:type="spellStart"/>
      <w:r w:rsidRPr="00E232AB">
        <w:t>Dopazo</w:t>
      </w:r>
      <w:proofErr w:type="spellEnd"/>
      <w:r w:rsidRPr="00E232AB">
        <w:t xml:space="preserve">, S. </w:t>
      </w:r>
      <w:proofErr w:type="spellStart"/>
      <w:r w:rsidRPr="00E232AB">
        <w:t>Draghici</w:t>
      </w:r>
      <w:proofErr w:type="spellEnd"/>
      <w:r w:rsidRPr="00E232AB">
        <w:t xml:space="preserve">, A. </w:t>
      </w:r>
      <w:proofErr w:type="spellStart"/>
      <w:r w:rsidRPr="00E232AB">
        <w:t>Drosou</w:t>
      </w:r>
      <w:proofErr w:type="spellEnd"/>
      <w:r w:rsidRPr="00E232AB">
        <w:t xml:space="preserve">, M. Dumontier, F. Ehrhart, F.-E. Eid, M. </w:t>
      </w:r>
      <w:proofErr w:type="spellStart"/>
      <w:r w:rsidRPr="00E232AB">
        <w:t>ElHefnawi</w:t>
      </w:r>
      <w:proofErr w:type="spellEnd"/>
      <w:r w:rsidRPr="00E232AB">
        <w:t xml:space="preserve">, H. </w:t>
      </w:r>
      <w:proofErr w:type="spellStart"/>
      <w:r w:rsidRPr="00E232AB">
        <w:t>Elmarakeby</w:t>
      </w:r>
      <w:proofErr w:type="spellEnd"/>
      <w:r w:rsidRPr="00E232AB">
        <w:t xml:space="preserve">, B. van </w:t>
      </w:r>
      <w:proofErr w:type="spellStart"/>
      <w:r w:rsidRPr="00E232AB">
        <w:t>Engelen</w:t>
      </w:r>
      <w:proofErr w:type="spellEnd"/>
      <w:r w:rsidRPr="00E232AB">
        <w:t xml:space="preserve">, H. B. </w:t>
      </w:r>
      <w:proofErr w:type="spellStart"/>
      <w:r w:rsidRPr="00E232AB">
        <w:t>Engin</w:t>
      </w:r>
      <w:proofErr w:type="spellEnd"/>
      <w:r w:rsidRPr="00E232AB">
        <w:t xml:space="preserve">, I. de </w:t>
      </w:r>
      <w:proofErr w:type="spellStart"/>
      <w:r w:rsidRPr="00E232AB">
        <w:t>Esch</w:t>
      </w:r>
      <w:proofErr w:type="spellEnd"/>
      <w:r w:rsidRPr="00E232AB">
        <w:t xml:space="preserve">, C. </w:t>
      </w:r>
      <w:proofErr w:type="spellStart"/>
      <w:r w:rsidRPr="00E232AB">
        <w:t>Evelo</w:t>
      </w:r>
      <w:proofErr w:type="spellEnd"/>
      <w:r w:rsidRPr="00E232AB">
        <w:t xml:space="preserve">, A. O. Falcao, S. Farag, C. Fernandez-Lozano, K. Fisch, A. </w:t>
      </w:r>
      <w:proofErr w:type="spellStart"/>
      <w:r w:rsidRPr="00E232AB">
        <w:t>Flobak</w:t>
      </w:r>
      <w:proofErr w:type="spellEnd"/>
      <w:r w:rsidRPr="00E232AB">
        <w:t xml:space="preserve">, C. </w:t>
      </w:r>
      <w:proofErr w:type="spellStart"/>
      <w:r w:rsidRPr="00E232AB">
        <w:t>Fornari</w:t>
      </w:r>
      <w:proofErr w:type="spellEnd"/>
      <w:r w:rsidRPr="00E232AB">
        <w:t xml:space="preserve">, A. B. K. </w:t>
      </w:r>
      <w:proofErr w:type="spellStart"/>
      <w:r w:rsidRPr="00E232AB">
        <w:t>Foroushani</w:t>
      </w:r>
      <w:proofErr w:type="spellEnd"/>
      <w:r w:rsidRPr="00E232AB">
        <w:t xml:space="preserve">, D. C. </w:t>
      </w:r>
      <w:proofErr w:type="spellStart"/>
      <w:r w:rsidRPr="00E232AB">
        <w:t>Fotso</w:t>
      </w:r>
      <w:proofErr w:type="spellEnd"/>
      <w:r w:rsidRPr="00E232AB">
        <w:t xml:space="preserve">, D. </w:t>
      </w:r>
      <w:proofErr w:type="spellStart"/>
      <w:r w:rsidRPr="00E232AB">
        <w:t>Fourches</w:t>
      </w:r>
      <w:proofErr w:type="spellEnd"/>
      <w:r w:rsidRPr="00E232AB">
        <w:t xml:space="preserve">, S. Friend, A. </w:t>
      </w:r>
      <w:proofErr w:type="spellStart"/>
      <w:r w:rsidRPr="00E232AB">
        <w:t>Frigessi</w:t>
      </w:r>
      <w:proofErr w:type="spellEnd"/>
      <w:r w:rsidRPr="00E232AB">
        <w:t xml:space="preserve">, F. Gao, X. Gao, J. M. </w:t>
      </w:r>
      <w:proofErr w:type="spellStart"/>
      <w:r w:rsidRPr="00E232AB">
        <w:t>Gerold</w:t>
      </w:r>
      <w:proofErr w:type="spellEnd"/>
      <w:r w:rsidRPr="00E232AB">
        <w:t xml:space="preserve">, P. </w:t>
      </w:r>
      <w:proofErr w:type="spellStart"/>
      <w:r w:rsidRPr="00E232AB">
        <w:t>Gestraud</w:t>
      </w:r>
      <w:proofErr w:type="spellEnd"/>
      <w:r w:rsidRPr="00E232AB">
        <w:t xml:space="preserve">, S. Ghosh, J. </w:t>
      </w:r>
      <w:proofErr w:type="spellStart"/>
      <w:r w:rsidRPr="00E232AB">
        <w:t>Gillberg</w:t>
      </w:r>
      <w:proofErr w:type="spellEnd"/>
      <w:r w:rsidRPr="00E232AB">
        <w:t>, A. Godoy-</w:t>
      </w:r>
      <w:proofErr w:type="spellStart"/>
      <w:r w:rsidRPr="00E232AB">
        <w:t>Lorite</w:t>
      </w:r>
      <w:proofErr w:type="spellEnd"/>
      <w:r w:rsidRPr="00E232AB">
        <w:t xml:space="preserve">, L. </w:t>
      </w:r>
      <w:proofErr w:type="spellStart"/>
      <w:r w:rsidRPr="00E232AB">
        <w:t>Godynyuk</w:t>
      </w:r>
      <w:proofErr w:type="spellEnd"/>
      <w:r w:rsidRPr="00E232AB">
        <w:t xml:space="preserve">, A. </w:t>
      </w:r>
      <w:proofErr w:type="spellStart"/>
      <w:r w:rsidRPr="00E232AB">
        <w:t>Godzik</w:t>
      </w:r>
      <w:proofErr w:type="spellEnd"/>
      <w:r w:rsidRPr="00E232AB">
        <w:t>, A. Goldenberg, D. Gomez-</w:t>
      </w:r>
      <w:proofErr w:type="spellStart"/>
      <w:r w:rsidRPr="00E232AB">
        <w:t>Cabrero</w:t>
      </w:r>
      <w:proofErr w:type="spellEnd"/>
      <w:r w:rsidRPr="00E232AB">
        <w:t xml:space="preserve">, M. </w:t>
      </w:r>
      <w:proofErr w:type="spellStart"/>
      <w:r w:rsidRPr="00E232AB">
        <w:t>Gonen</w:t>
      </w:r>
      <w:proofErr w:type="spellEnd"/>
      <w:r w:rsidRPr="00E232AB">
        <w:t xml:space="preserve">, C. de Graaf, H. Gray, M. </w:t>
      </w:r>
      <w:proofErr w:type="spellStart"/>
      <w:r w:rsidRPr="00E232AB">
        <w:t>Grechkin</w:t>
      </w:r>
      <w:proofErr w:type="spellEnd"/>
      <w:r w:rsidRPr="00E232AB">
        <w:t xml:space="preserve">, R. </w:t>
      </w:r>
      <w:proofErr w:type="spellStart"/>
      <w:r w:rsidRPr="00E232AB">
        <w:t>Guimera</w:t>
      </w:r>
      <w:proofErr w:type="spellEnd"/>
      <w:r w:rsidRPr="00E232AB">
        <w:t xml:space="preserve">, E. </w:t>
      </w:r>
      <w:proofErr w:type="spellStart"/>
      <w:r w:rsidRPr="00E232AB">
        <w:t>Guney</w:t>
      </w:r>
      <w:proofErr w:type="spellEnd"/>
      <w:r w:rsidRPr="00E232AB">
        <w:t xml:space="preserve">, B. </w:t>
      </w:r>
      <w:proofErr w:type="spellStart"/>
      <w:r w:rsidRPr="00E232AB">
        <w:t>Haibe-Kains</w:t>
      </w:r>
      <w:proofErr w:type="spellEnd"/>
      <w:r w:rsidRPr="00E232AB">
        <w:t xml:space="preserve">, Y. Han, T. </w:t>
      </w:r>
      <w:proofErr w:type="spellStart"/>
      <w:r w:rsidRPr="00E232AB">
        <w:t>Hase</w:t>
      </w:r>
      <w:proofErr w:type="spellEnd"/>
      <w:r w:rsidRPr="00E232AB">
        <w:t xml:space="preserve">, D. He, L. He, L. S. Heath, K. H. </w:t>
      </w:r>
      <w:proofErr w:type="spellStart"/>
      <w:r w:rsidRPr="00E232AB">
        <w:lastRenderedPageBreak/>
        <w:t>Hellton</w:t>
      </w:r>
      <w:proofErr w:type="spellEnd"/>
      <w:r w:rsidRPr="00E232AB">
        <w:t>, M. Helmer-</w:t>
      </w:r>
      <w:proofErr w:type="spellStart"/>
      <w:r w:rsidRPr="00E232AB">
        <w:t>Citterich</w:t>
      </w:r>
      <w:proofErr w:type="spellEnd"/>
      <w:r w:rsidRPr="00E232AB">
        <w:t xml:space="preserve">, M. R. Hidalgo, D. </w:t>
      </w:r>
      <w:proofErr w:type="spellStart"/>
      <w:r w:rsidRPr="00E232AB">
        <w:t>Hidru</w:t>
      </w:r>
      <w:proofErr w:type="spellEnd"/>
      <w:r w:rsidRPr="00E232AB">
        <w:t xml:space="preserve">, S. M. Hill, S. </w:t>
      </w:r>
      <w:proofErr w:type="spellStart"/>
      <w:r w:rsidRPr="00E232AB">
        <w:t>Hochreiter</w:t>
      </w:r>
      <w:proofErr w:type="spellEnd"/>
      <w:r w:rsidRPr="00E232AB">
        <w:t xml:space="preserve">, S. Hong, E. </w:t>
      </w:r>
      <w:proofErr w:type="spellStart"/>
      <w:r w:rsidRPr="00E232AB">
        <w:t>Hovig</w:t>
      </w:r>
      <w:proofErr w:type="spellEnd"/>
      <w:r w:rsidRPr="00E232AB">
        <w:t xml:space="preserve">, Y.-C. Hsueh, Z. Hu, J. K. Huang, R. S. Huang, L. </w:t>
      </w:r>
      <w:proofErr w:type="spellStart"/>
      <w:r w:rsidRPr="00E232AB">
        <w:t>Hunyady</w:t>
      </w:r>
      <w:proofErr w:type="spellEnd"/>
      <w:r w:rsidRPr="00E232AB">
        <w:t xml:space="preserve">, J. Hwang, T. H. Hwang, W. Hwang, Y. Hwang, O. </w:t>
      </w:r>
      <w:proofErr w:type="spellStart"/>
      <w:r w:rsidRPr="00E232AB">
        <w:t>Isayev</w:t>
      </w:r>
      <w:proofErr w:type="spellEnd"/>
      <w:r w:rsidRPr="00E232AB">
        <w:t xml:space="preserve">, O. B. D. Walk, J. Jack, S. </w:t>
      </w:r>
      <w:proofErr w:type="spellStart"/>
      <w:r w:rsidRPr="00E232AB">
        <w:t>Jahandideh</w:t>
      </w:r>
      <w:proofErr w:type="spellEnd"/>
      <w:r w:rsidRPr="00E232AB">
        <w:t xml:space="preserve">, J. Ji, Y. Jo, P. J. </w:t>
      </w:r>
      <w:proofErr w:type="spellStart"/>
      <w:r w:rsidRPr="00E232AB">
        <w:t>Kamola</w:t>
      </w:r>
      <w:proofErr w:type="spellEnd"/>
      <w:r w:rsidRPr="00E232AB">
        <w:t xml:space="preserve">, G. K. </w:t>
      </w:r>
      <w:proofErr w:type="spellStart"/>
      <w:r w:rsidRPr="00E232AB">
        <w:t>Kanev</w:t>
      </w:r>
      <w:proofErr w:type="spellEnd"/>
      <w:r w:rsidRPr="00E232AB">
        <w:t xml:space="preserve">, L. </w:t>
      </w:r>
      <w:proofErr w:type="spellStart"/>
      <w:r w:rsidRPr="00E232AB">
        <w:t>Karacosta</w:t>
      </w:r>
      <w:proofErr w:type="spellEnd"/>
      <w:r w:rsidRPr="00E232AB">
        <w:t xml:space="preserve">, M. Karimi, S. </w:t>
      </w:r>
      <w:proofErr w:type="spellStart"/>
      <w:r w:rsidRPr="00E232AB">
        <w:t>Kaski</w:t>
      </w:r>
      <w:proofErr w:type="spellEnd"/>
      <w:r w:rsidRPr="00E232AB">
        <w:t xml:space="preserve">, M. </w:t>
      </w:r>
      <w:proofErr w:type="spellStart"/>
      <w:r w:rsidRPr="00E232AB">
        <w:t>Kazanov</w:t>
      </w:r>
      <w:proofErr w:type="spellEnd"/>
      <w:r w:rsidRPr="00E232AB">
        <w:t xml:space="preserve">, A. M. Khamis, S. A. Khan, N. A. </w:t>
      </w:r>
      <w:proofErr w:type="spellStart"/>
      <w:r w:rsidRPr="00E232AB">
        <w:t>Kiani</w:t>
      </w:r>
      <w:proofErr w:type="spellEnd"/>
      <w:r w:rsidRPr="00E232AB">
        <w:t xml:space="preserve">, A. Kim, J. Kim, J. Kim, K. Kim, K. Kim, S. Kim, Y. Kim, Y. Kim, P. D. W. Kirk, H. Kitano, G. </w:t>
      </w:r>
      <w:proofErr w:type="spellStart"/>
      <w:r w:rsidRPr="00E232AB">
        <w:t>Klambauer</w:t>
      </w:r>
      <w:proofErr w:type="spellEnd"/>
      <w:r w:rsidRPr="00E232AB">
        <w:t>, D. Knowles, M. Ko, A. Kohn-</w:t>
      </w:r>
      <w:proofErr w:type="spellStart"/>
      <w:r w:rsidRPr="00E232AB">
        <w:t>Luque</w:t>
      </w:r>
      <w:proofErr w:type="spellEnd"/>
      <w:r w:rsidRPr="00E232AB">
        <w:t xml:space="preserve">, A. J. </w:t>
      </w:r>
      <w:proofErr w:type="spellStart"/>
      <w:r w:rsidRPr="00E232AB">
        <w:t>Kooistra</w:t>
      </w:r>
      <w:proofErr w:type="spellEnd"/>
      <w:r w:rsidRPr="00E232AB">
        <w:t xml:space="preserve">, M. A. </w:t>
      </w:r>
      <w:proofErr w:type="spellStart"/>
      <w:r w:rsidRPr="00E232AB">
        <w:t>Kuenemann</w:t>
      </w:r>
      <w:proofErr w:type="spellEnd"/>
      <w:r w:rsidRPr="00E232AB">
        <w:t xml:space="preserve">, M. Kuiper, C. Kurz, M. Kwon, T. van </w:t>
      </w:r>
      <w:proofErr w:type="spellStart"/>
      <w:r w:rsidRPr="00E232AB">
        <w:t>Laarhoven</w:t>
      </w:r>
      <w:proofErr w:type="spellEnd"/>
      <w:r w:rsidRPr="00E232AB">
        <w:t xml:space="preserve">, A. </w:t>
      </w:r>
      <w:proofErr w:type="spellStart"/>
      <w:r w:rsidRPr="00E232AB">
        <w:t>Laegreid</w:t>
      </w:r>
      <w:proofErr w:type="spellEnd"/>
      <w:r w:rsidRPr="00E232AB">
        <w:t xml:space="preserve">, S. Lederer, H. Lee, J. Lee, Y. W. Lee, E. </w:t>
      </w:r>
      <w:proofErr w:type="spellStart"/>
      <w:r w:rsidRPr="00E232AB">
        <w:t>Lepp_aho</w:t>
      </w:r>
      <w:proofErr w:type="spellEnd"/>
      <w:r w:rsidRPr="00E232AB">
        <w:t xml:space="preserve">, R. Lewis, J. Li, L. Li, J. </w:t>
      </w:r>
      <w:proofErr w:type="spellStart"/>
      <w:r w:rsidRPr="00E232AB">
        <w:t>Liley</w:t>
      </w:r>
      <w:proofErr w:type="spellEnd"/>
      <w:r w:rsidRPr="00E232AB">
        <w:t xml:space="preserve">, W. K. Lim, C. Lin, Y. Liu, Y. Lopez, J. Low, A. Lysenko, D. Machado, N. Madhukar, D. D. </w:t>
      </w:r>
      <w:proofErr w:type="spellStart"/>
      <w:r w:rsidRPr="00E232AB">
        <w:t>Maeyer</w:t>
      </w:r>
      <w:proofErr w:type="spellEnd"/>
      <w:r w:rsidRPr="00E232AB">
        <w:t xml:space="preserve">, A. B. </w:t>
      </w:r>
      <w:proofErr w:type="spellStart"/>
      <w:r w:rsidRPr="00E232AB">
        <w:t>Malpartida</w:t>
      </w:r>
      <w:proofErr w:type="spellEnd"/>
      <w:r w:rsidRPr="00E232AB">
        <w:t xml:space="preserve">, H. </w:t>
      </w:r>
      <w:proofErr w:type="spellStart"/>
      <w:r w:rsidRPr="00E232AB">
        <w:t>Mamitsuka</w:t>
      </w:r>
      <w:proofErr w:type="spellEnd"/>
      <w:r w:rsidRPr="00E232AB">
        <w:t xml:space="preserve">, F. </w:t>
      </w:r>
      <w:proofErr w:type="spellStart"/>
      <w:r w:rsidRPr="00E232AB">
        <w:t>Marabita</w:t>
      </w:r>
      <w:proofErr w:type="spellEnd"/>
      <w:r w:rsidRPr="00E232AB">
        <w:t xml:space="preserve">, K. </w:t>
      </w:r>
      <w:proofErr w:type="spellStart"/>
      <w:r w:rsidRPr="00E232AB">
        <w:t>Marchal</w:t>
      </w:r>
      <w:proofErr w:type="spellEnd"/>
      <w:r w:rsidRPr="00E232AB">
        <w:t xml:space="preserve">, P. </w:t>
      </w:r>
      <w:proofErr w:type="spellStart"/>
      <w:r w:rsidRPr="00E232AB">
        <w:t>Marttinen</w:t>
      </w:r>
      <w:proofErr w:type="spellEnd"/>
      <w:r w:rsidRPr="00E232AB">
        <w:t xml:space="preserve">, D. Mason, A. </w:t>
      </w:r>
      <w:proofErr w:type="spellStart"/>
      <w:r w:rsidRPr="00E232AB">
        <w:t>Mazaheri</w:t>
      </w:r>
      <w:proofErr w:type="spellEnd"/>
      <w:r w:rsidRPr="00E232AB">
        <w:t xml:space="preserve">, A. Mehmood, A. </w:t>
      </w:r>
      <w:proofErr w:type="spellStart"/>
      <w:r w:rsidRPr="00E232AB">
        <w:t>Mehreen</w:t>
      </w:r>
      <w:proofErr w:type="spellEnd"/>
      <w:r w:rsidRPr="00E232AB">
        <w:t xml:space="preserve">, M. </w:t>
      </w:r>
      <w:proofErr w:type="spellStart"/>
      <w:r w:rsidRPr="00E232AB">
        <w:t>Michaut</w:t>
      </w:r>
      <w:proofErr w:type="spellEnd"/>
      <w:r w:rsidRPr="00E232AB">
        <w:t xml:space="preserve">, R. A. Miller, C. </w:t>
      </w:r>
      <w:proofErr w:type="spellStart"/>
      <w:r w:rsidRPr="00E232AB">
        <w:t>Mitsopoulos</w:t>
      </w:r>
      <w:proofErr w:type="spellEnd"/>
      <w:r w:rsidRPr="00E232AB">
        <w:t xml:space="preserve">, D. </w:t>
      </w:r>
      <w:proofErr w:type="spellStart"/>
      <w:r w:rsidRPr="00E232AB">
        <w:t>Modos</w:t>
      </w:r>
      <w:proofErr w:type="spellEnd"/>
      <w:r w:rsidRPr="00E232AB">
        <w:t xml:space="preserve">, M. V. </w:t>
      </w:r>
      <w:proofErr w:type="spellStart"/>
      <w:r w:rsidRPr="00E232AB">
        <w:t>Moerbeke</w:t>
      </w:r>
      <w:proofErr w:type="spellEnd"/>
      <w:r w:rsidRPr="00E232AB">
        <w:t xml:space="preserve">, K. Moo, A. </w:t>
      </w:r>
      <w:proofErr w:type="spellStart"/>
      <w:r w:rsidRPr="00E232AB">
        <w:t>Motsinger-Reif</w:t>
      </w:r>
      <w:proofErr w:type="spellEnd"/>
      <w:r w:rsidRPr="00E232AB">
        <w:t xml:space="preserve">, R. </w:t>
      </w:r>
      <w:proofErr w:type="spellStart"/>
      <w:r w:rsidRPr="00E232AB">
        <w:t>Movva</w:t>
      </w:r>
      <w:proofErr w:type="spellEnd"/>
      <w:r w:rsidRPr="00E232AB">
        <w:t xml:space="preserve">, S. </w:t>
      </w:r>
      <w:proofErr w:type="spellStart"/>
      <w:r w:rsidRPr="00E232AB">
        <w:t>Muraru</w:t>
      </w:r>
      <w:proofErr w:type="spellEnd"/>
      <w:r w:rsidRPr="00E232AB">
        <w:t xml:space="preserve">, E. </w:t>
      </w:r>
      <w:proofErr w:type="spellStart"/>
      <w:r w:rsidRPr="00E232AB">
        <w:t>Muratov</w:t>
      </w:r>
      <w:proofErr w:type="spellEnd"/>
      <w:r w:rsidRPr="00E232AB">
        <w:t xml:space="preserve">, M. </w:t>
      </w:r>
      <w:proofErr w:type="spellStart"/>
      <w:r w:rsidRPr="00E232AB">
        <w:t>Mushthofa</w:t>
      </w:r>
      <w:proofErr w:type="spellEnd"/>
      <w:r w:rsidRPr="00E232AB">
        <w:t xml:space="preserve">, N. Nagarajan, S. </w:t>
      </w:r>
      <w:proofErr w:type="spellStart"/>
      <w:r w:rsidRPr="00E232AB">
        <w:t>Nakken</w:t>
      </w:r>
      <w:proofErr w:type="spellEnd"/>
      <w:r w:rsidRPr="00E232AB">
        <w:t xml:space="preserve">, A. Nath, P. </w:t>
      </w:r>
      <w:proofErr w:type="spellStart"/>
      <w:r w:rsidRPr="00E232AB">
        <w:t>Neuvial</w:t>
      </w:r>
      <w:proofErr w:type="spellEnd"/>
      <w:r w:rsidRPr="00E232AB">
        <w:t xml:space="preserve">, R. Newton, Z. Ning, C. D. </w:t>
      </w:r>
      <w:proofErr w:type="spellStart"/>
      <w:r w:rsidRPr="00E232AB">
        <w:t>Niz</w:t>
      </w:r>
      <w:proofErr w:type="spellEnd"/>
      <w:r w:rsidRPr="00E232AB">
        <w:t xml:space="preserve">, B. Oliva, C. Olsen, A. </w:t>
      </w:r>
      <w:proofErr w:type="spellStart"/>
      <w:r w:rsidRPr="00E232AB">
        <w:t>Palmeri</w:t>
      </w:r>
      <w:proofErr w:type="spellEnd"/>
      <w:r w:rsidRPr="00E232AB">
        <w:t xml:space="preserve">, B. Panesar, S. Papadopoulos, J. Park, S. Park, S. Park, Y. </w:t>
      </w:r>
      <w:proofErr w:type="spellStart"/>
      <w:r w:rsidRPr="00E232AB">
        <w:t>Pawitan</w:t>
      </w:r>
      <w:proofErr w:type="spellEnd"/>
      <w:r w:rsidRPr="00E232AB">
        <w:t xml:space="preserve">, D. Peluso, S. </w:t>
      </w:r>
      <w:proofErr w:type="spellStart"/>
      <w:r w:rsidRPr="00E232AB">
        <w:t>Pendyala</w:t>
      </w:r>
      <w:proofErr w:type="spellEnd"/>
      <w:r w:rsidRPr="00E232AB">
        <w:t xml:space="preserve">, J. Peng, L. Perfetto, S. </w:t>
      </w:r>
      <w:proofErr w:type="spellStart"/>
      <w:r w:rsidRPr="00E232AB">
        <w:t>Pirro</w:t>
      </w:r>
      <w:proofErr w:type="spellEnd"/>
      <w:r w:rsidRPr="00E232AB">
        <w:t xml:space="preserve">, S. Plevritis, R. </w:t>
      </w:r>
      <w:proofErr w:type="spellStart"/>
      <w:r w:rsidRPr="00E232AB">
        <w:t>Politi</w:t>
      </w:r>
      <w:proofErr w:type="spellEnd"/>
      <w:r w:rsidRPr="00E232AB">
        <w:t xml:space="preserve">, H. Poon, E. Porta, I. </w:t>
      </w:r>
      <w:proofErr w:type="spellStart"/>
      <w:r w:rsidRPr="00E232AB">
        <w:t>Prellner</w:t>
      </w:r>
      <w:proofErr w:type="spellEnd"/>
      <w:r w:rsidRPr="00E232AB">
        <w:t xml:space="preserve">, K. </w:t>
      </w:r>
      <w:proofErr w:type="spellStart"/>
      <w:r w:rsidRPr="00E232AB">
        <w:t>Preuer</w:t>
      </w:r>
      <w:proofErr w:type="spellEnd"/>
      <w:r w:rsidRPr="00E232AB">
        <w:t xml:space="preserve">, M. A. </w:t>
      </w:r>
      <w:proofErr w:type="spellStart"/>
      <w:r w:rsidRPr="00E232AB">
        <w:t>Pujana</w:t>
      </w:r>
      <w:proofErr w:type="spellEnd"/>
      <w:r w:rsidRPr="00E232AB">
        <w:t xml:space="preserve">, R. Ramnarine, J. E. Reid, F. </w:t>
      </w:r>
      <w:proofErr w:type="spellStart"/>
      <w:r w:rsidRPr="00E232AB">
        <w:t>Reyal</w:t>
      </w:r>
      <w:proofErr w:type="spellEnd"/>
      <w:r w:rsidRPr="00E232AB">
        <w:t xml:space="preserve">, S. Richardson, C. Ricketts, L. </w:t>
      </w:r>
      <w:proofErr w:type="spellStart"/>
      <w:r w:rsidRPr="00E232AB">
        <w:t>Rieswijk</w:t>
      </w:r>
      <w:proofErr w:type="spellEnd"/>
      <w:r w:rsidRPr="00E232AB">
        <w:t>, M. Rocha, C. Rodriguez-</w:t>
      </w:r>
      <w:proofErr w:type="spellStart"/>
      <w:r w:rsidRPr="00E232AB">
        <w:t>Gonzalvez</w:t>
      </w:r>
      <w:proofErr w:type="spellEnd"/>
      <w:r w:rsidRPr="00E232AB">
        <w:t xml:space="preserve">, K. </w:t>
      </w:r>
      <w:proofErr w:type="spellStart"/>
      <w:r w:rsidRPr="00E232AB">
        <w:t>Roell</w:t>
      </w:r>
      <w:proofErr w:type="spellEnd"/>
      <w:r w:rsidRPr="00E232AB">
        <w:t xml:space="preserve">, D. Rotroff, J. R. de Ruiter, P. </w:t>
      </w:r>
      <w:proofErr w:type="spellStart"/>
      <w:r w:rsidRPr="00E232AB">
        <w:t>Rukawa</w:t>
      </w:r>
      <w:proofErr w:type="spellEnd"/>
      <w:r w:rsidRPr="00E232AB">
        <w:t xml:space="preserve">, B. </w:t>
      </w:r>
      <w:proofErr w:type="spellStart"/>
      <w:r w:rsidRPr="00E232AB">
        <w:t>Sadacca</w:t>
      </w:r>
      <w:proofErr w:type="spellEnd"/>
      <w:r w:rsidRPr="00E232AB">
        <w:t xml:space="preserve">, Z. </w:t>
      </w:r>
      <w:proofErr w:type="spellStart"/>
      <w:r w:rsidRPr="00E232AB">
        <w:t>Safikhani</w:t>
      </w:r>
      <w:proofErr w:type="spellEnd"/>
      <w:r w:rsidRPr="00E232AB">
        <w:t xml:space="preserve">, F. </w:t>
      </w:r>
      <w:proofErr w:type="spellStart"/>
      <w:r w:rsidRPr="00E232AB">
        <w:t>Safitri</w:t>
      </w:r>
      <w:proofErr w:type="spellEnd"/>
      <w:r w:rsidRPr="00E232AB">
        <w:t xml:space="preserve">, M. Sales-Pardo, S. Sauer, M. Schlichting, J. A. </w:t>
      </w:r>
      <w:proofErr w:type="spellStart"/>
      <w:r w:rsidRPr="00E232AB">
        <w:t>Seoane</w:t>
      </w:r>
      <w:proofErr w:type="spellEnd"/>
      <w:r w:rsidRPr="00E232AB">
        <w:t xml:space="preserve">, J. Serra, M.-M. Shang, A. Sharma, H. Sharma, Y. Shen, M. Shiga, M. Shin, Z. </w:t>
      </w:r>
      <w:proofErr w:type="spellStart"/>
      <w:r w:rsidRPr="00E232AB">
        <w:t>Shkedy</w:t>
      </w:r>
      <w:proofErr w:type="spellEnd"/>
      <w:r w:rsidRPr="00E232AB">
        <w:t xml:space="preserve">, K. </w:t>
      </w:r>
      <w:proofErr w:type="spellStart"/>
      <w:r w:rsidRPr="00E232AB">
        <w:t>Shopsowitz</w:t>
      </w:r>
      <w:proofErr w:type="spellEnd"/>
      <w:r w:rsidRPr="00E232AB">
        <w:t xml:space="preserve">, S. Sinai, D. </w:t>
      </w:r>
      <w:proofErr w:type="spellStart"/>
      <w:r w:rsidRPr="00E232AB">
        <w:t>Skola</w:t>
      </w:r>
      <w:proofErr w:type="spellEnd"/>
      <w:r w:rsidRPr="00E232AB">
        <w:t xml:space="preserve">, P. Smirnov, I. F. </w:t>
      </w:r>
      <w:proofErr w:type="spellStart"/>
      <w:r w:rsidRPr="00E232AB">
        <w:t>Soerensen</w:t>
      </w:r>
      <w:proofErr w:type="spellEnd"/>
      <w:r w:rsidRPr="00E232AB">
        <w:t xml:space="preserve">, P. </w:t>
      </w:r>
      <w:proofErr w:type="spellStart"/>
      <w:r w:rsidRPr="00E232AB">
        <w:t>Soerensen</w:t>
      </w:r>
      <w:proofErr w:type="spellEnd"/>
      <w:r w:rsidRPr="00E232AB">
        <w:t xml:space="preserve">, J.-H. Song, S. O. Song, O. </w:t>
      </w:r>
      <w:proofErr w:type="spellStart"/>
      <w:r w:rsidRPr="00E232AB">
        <w:t>Soufan</w:t>
      </w:r>
      <w:proofErr w:type="spellEnd"/>
      <w:r w:rsidRPr="00E232AB">
        <w:t xml:space="preserve">, A. </w:t>
      </w:r>
      <w:proofErr w:type="spellStart"/>
      <w:r w:rsidRPr="00E232AB">
        <w:t>Spitzmueller</w:t>
      </w:r>
      <w:proofErr w:type="spellEnd"/>
      <w:r w:rsidRPr="00E232AB">
        <w:t xml:space="preserve">, B. </w:t>
      </w:r>
      <w:proofErr w:type="spellStart"/>
      <w:r w:rsidRPr="00E232AB">
        <w:t>Steipe</w:t>
      </w:r>
      <w:proofErr w:type="spellEnd"/>
      <w:r w:rsidRPr="00E232AB">
        <w:t xml:space="preserve">, C. </w:t>
      </w:r>
      <w:proofErr w:type="spellStart"/>
      <w:r w:rsidRPr="00E232AB">
        <w:t>Suphavilai</w:t>
      </w:r>
      <w:proofErr w:type="spellEnd"/>
      <w:r w:rsidRPr="00E232AB">
        <w:t xml:space="preserve">, S. P. Tamayo, D. </w:t>
      </w:r>
      <w:proofErr w:type="spellStart"/>
      <w:r w:rsidRPr="00E232AB">
        <w:t>Tamborero</w:t>
      </w:r>
      <w:proofErr w:type="spellEnd"/>
      <w:r w:rsidRPr="00E232AB">
        <w:t xml:space="preserve">, J. Tang, Z.-R. </w:t>
      </w:r>
      <w:proofErr w:type="spellStart"/>
      <w:r w:rsidRPr="00E232AB">
        <w:t>Tanoli</w:t>
      </w:r>
      <w:proofErr w:type="spellEnd"/>
      <w:r w:rsidRPr="00E232AB">
        <w:t xml:space="preserve">, M. Tarres-Deulofeu, J. </w:t>
      </w:r>
      <w:proofErr w:type="spellStart"/>
      <w:r w:rsidRPr="00E232AB">
        <w:t>Tegner</w:t>
      </w:r>
      <w:proofErr w:type="spellEnd"/>
      <w:r w:rsidRPr="00E232AB">
        <w:t xml:space="preserve">, L. </w:t>
      </w:r>
      <w:proofErr w:type="spellStart"/>
      <w:r w:rsidRPr="00E232AB">
        <w:t>Thommesen</w:t>
      </w:r>
      <w:proofErr w:type="spellEnd"/>
      <w:r w:rsidRPr="00E232AB">
        <w:t xml:space="preserve">, S. A. </w:t>
      </w:r>
      <w:r w:rsidRPr="00E232AB">
        <w:lastRenderedPageBreak/>
        <w:t xml:space="preserve">M. </w:t>
      </w:r>
      <w:proofErr w:type="spellStart"/>
      <w:r w:rsidRPr="00E232AB">
        <w:t>Tonekaboni</w:t>
      </w:r>
      <w:proofErr w:type="spellEnd"/>
      <w:r w:rsidRPr="00E232AB">
        <w:t xml:space="preserve">, H. Tran, E. D. Troyer, A. Truong, T. </w:t>
      </w:r>
      <w:proofErr w:type="spellStart"/>
      <w:r w:rsidRPr="00E232AB">
        <w:t>Tsunoda</w:t>
      </w:r>
      <w:proofErr w:type="spellEnd"/>
      <w:r w:rsidRPr="00E232AB">
        <w:t xml:space="preserve">, G. </w:t>
      </w:r>
      <w:proofErr w:type="spellStart"/>
      <w:r w:rsidRPr="00E232AB">
        <w:t>Turu</w:t>
      </w:r>
      <w:proofErr w:type="spellEnd"/>
      <w:r w:rsidRPr="00E232AB">
        <w:t xml:space="preserve">, G.-Y. Tzeng, L. Verbeke, S. </w:t>
      </w:r>
      <w:proofErr w:type="spellStart"/>
      <w:r w:rsidRPr="00E232AB">
        <w:t>Videla</w:t>
      </w:r>
      <w:proofErr w:type="spellEnd"/>
      <w:r w:rsidRPr="00E232AB">
        <w:t xml:space="preserve">, D. Vis, A. </w:t>
      </w:r>
      <w:proofErr w:type="spellStart"/>
      <w:r w:rsidRPr="00E232AB">
        <w:t>Voronkov</w:t>
      </w:r>
      <w:proofErr w:type="spellEnd"/>
      <w:r w:rsidRPr="00E232AB">
        <w:t xml:space="preserve">, K. </w:t>
      </w:r>
      <w:proofErr w:type="spellStart"/>
      <w:r w:rsidRPr="00E232AB">
        <w:t>Votis</w:t>
      </w:r>
      <w:proofErr w:type="spellEnd"/>
      <w:r w:rsidRPr="00E232AB">
        <w:t xml:space="preserve">, A. Wang, H.-Q. H. Wang, P.-W. Wang, S. Wang, W. Wang, X. Wang, X. Wang, K. </w:t>
      </w:r>
      <w:proofErr w:type="spellStart"/>
      <w:r w:rsidRPr="00E232AB">
        <w:t>Wennerberg</w:t>
      </w:r>
      <w:proofErr w:type="spellEnd"/>
      <w:r w:rsidRPr="00E232AB">
        <w:t xml:space="preserve">, L. </w:t>
      </w:r>
      <w:proofErr w:type="spellStart"/>
      <w:r w:rsidRPr="00E232AB">
        <w:t>Wernisch</w:t>
      </w:r>
      <w:proofErr w:type="spellEnd"/>
      <w:r w:rsidRPr="00E232AB">
        <w:t xml:space="preserve">, L. Wessels, G. J. P. van </w:t>
      </w:r>
      <w:proofErr w:type="spellStart"/>
      <w:r w:rsidRPr="00E232AB">
        <w:t>Westen</w:t>
      </w:r>
      <w:proofErr w:type="spellEnd"/>
      <w:r w:rsidRPr="00E232AB">
        <w:t xml:space="preserve">, B. A. </w:t>
      </w:r>
      <w:proofErr w:type="spellStart"/>
      <w:r w:rsidRPr="00E232AB">
        <w:t>Westerman</w:t>
      </w:r>
      <w:proofErr w:type="spellEnd"/>
      <w:r w:rsidRPr="00E232AB">
        <w:t xml:space="preserve">, S. R. White, E. </w:t>
      </w:r>
      <w:proofErr w:type="spellStart"/>
      <w:r w:rsidRPr="00E232AB">
        <w:t>Willighagen</w:t>
      </w:r>
      <w:proofErr w:type="spellEnd"/>
      <w:r w:rsidRPr="00E232AB">
        <w:t xml:space="preserve">, T. </w:t>
      </w:r>
      <w:proofErr w:type="spellStart"/>
      <w:r w:rsidRPr="00E232AB">
        <w:t>Wurdinger</w:t>
      </w:r>
      <w:proofErr w:type="spellEnd"/>
      <w:r w:rsidRPr="00E232AB">
        <w:t xml:space="preserve">, L. Xie, S. Xie, H. Xu, B. Yadav, C. </w:t>
      </w:r>
      <w:proofErr w:type="spellStart"/>
      <w:r w:rsidRPr="00E232AB">
        <w:t>Yau</w:t>
      </w:r>
      <w:proofErr w:type="spellEnd"/>
      <w:r w:rsidRPr="00E232AB">
        <w:t xml:space="preserve">, H. </w:t>
      </w:r>
      <w:proofErr w:type="spellStart"/>
      <w:r w:rsidRPr="00E232AB">
        <w:t>Yeerna</w:t>
      </w:r>
      <w:proofErr w:type="spellEnd"/>
      <w:r w:rsidRPr="00E232AB">
        <w:t xml:space="preserve">, J. W. Yin, M. Yu, M. Yu, S. J. Yun, A. Zakharov, A. </w:t>
      </w:r>
      <w:proofErr w:type="spellStart"/>
      <w:r w:rsidRPr="00E232AB">
        <w:t>Zamichos</w:t>
      </w:r>
      <w:proofErr w:type="spellEnd"/>
      <w:r w:rsidRPr="00E232AB">
        <w:t xml:space="preserve">, M. </w:t>
      </w:r>
      <w:proofErr w:type="spellStart"/>
      <w:r w:rsidRPr="00E232AB">
        <w:t>Zanin</w:t>
      </w:r>
      <w:proofErr w:type="spellEnd"/>
      <w:r w:rsidRPr="00E232AB">
        <w:t xml:space="preserve">, L. Zeng, H. </w:t>
      </w:r>
      <w:proofErr w:type="spellStart"/>
      <w:r w:rsidRPr="00E232AB">
        <w:t>Zenil</w:t>
      </w:r>
      <w:proofErr w:type="spellEnd"/>
      <w:r w:rsidRPr="00E232AB">
        <w:t xml:space="preserve">, F. Zhang, P. Zhang, W. Zhang, H. Zhao, L. Zhao, W. Zheng, A. </w:t>
      </w:r>
      <w:proofErr w:type="spellStart"/>
      <w:r w:rsidRPr="00E232AB">
        <w:t>Zoufir</w:t>
      </w:r>
      <w:proofErr w:type="spellEnd"/>
      <w:r w:rsidRPr="00E232AB">
        <w:t xml:space="preserve">, M. </w:t>
      </w:r>
      <w:proofErr w:type="spellStart"/>
      <w:r w:rsidRPr="00E232AB">
        <w:t>Zucknick</w:t>
      </w:r>
      <w:proofErr w:type="spellEnd"/>
      <w:r w:rsidRPr="00E232AB">
        <w:t xml:space="preserve">, I. S. Jang, Z. </w:t>
      </w:r>
      <w:proofErr w:type="spellStart"/>
      <w:r w:rsidRPr="00E232AB">
        <w:t>Ghazoui</w:t>
      </w:r>
      <w:proofErr w:type="spellEnd"/>
      <w:r w:rsidRPr="00E232AB">
        <w:t xml:space="preserve">, M. E. </w:t>
      </w:r>
      <w:proofErr w:type="spellStart"/>
      <w:r w:rsidRPr="00E232AB">
        <w:t>Ahsen</w:t>
      </w:r>
      <w:proofErr w:type="spellEnd"/>
      <w:r w:rsidRPr="00E232AB">
        <w:t xml:space="preserve">, R. Vogel, E. C. Neto, T. Norman, E. K. Y. Tang, M. J. Garnett, G. Y. D. </w:t>
      </w:r>
      <w:proofErr w:type="spellStart"/>
      <w:r w:rsidRPr="00E232AB">
        <w:t>Veroli</w:t>
      </w:r>
      <w:proofErr w:type="spellEnd"/>
      <w:r w:rsidRPr="00E232AB">
        <w:t xml:space="preserve">, S. </w:t>
      </w:r>
      <w:proofErr w:type="spellStart"/>
      <w:r w:rsidRPr="00E232AB">
        <w:t>Fawell</w:t>
      </w:r>
      <w:proofErr w:type="spellEnd"/>
      <w:r w:rsidRPr="00E232AB">
        <w:t xml:space="preserve">, G. </w:t>
      </w:r>
      <w:proofErr w:type="spellStart"/>
      <w:r w:rsidRPr="00E232AB">
        <w:t>Stolovitzky</w:t>
      </w:r>
      <w:proofErr w:type="spellEnd"/>
      <w:r w:rsidRPr="00E232AB">
        <w:t xml:space="preserve">, J. </w:t>
      </w:r>
      <w:proofErr w:type="spellStart"/>
      <w:r w:rsidRPr="00E232AB">
        <w:t>Guinney</w:t>
      </w:r>
      <w:proofErr w:type="spellEnd"/>
      <w:r w:rsidRPr="00E232AB">
        <w:t xml:space="preserve">, J. R. Dry, J. </w:t>
      </w:r>
      <w:proofErr w:type="spellStart"/>
      <w:r w:rsidRPr="00E232AB">
        <w:t>Saez</w:t>
      </w:r>
      <w:proofErr w:type="spellEnd"/>
      <w:r w:rsidRPr="00E232AB">
        <w:t xml:space="preserve">-Rodriguez, Community assessment to advance computational prediction of cancer drug combinations in a pharmacogenomic screen. </w:t>
      </w:r>
      <w:r w:rsidRPr="00E232AB">
        <w:rPr>
          <w:i/>
          <w:iCs/>
        </w:rPr>
        <w:t xml:space="preserve">Nat </w:t>
      </w:r>
      <w:proofErr w:type="spellStart"/>
      <w:r w:rsidRPr="00E232AB">
        <w:rPr>
          <w:i/>
          <w:iCs/>
        </w:rPr>
        <w:t>Commun</w:t>
      </w:r>
      <w:proofErr w:type="spellEnd"/>
      <w:r w:rsidRPr="00E232AB">
        <w:rPr>
          <w:i/>
          <w:iCs/>
        </w:rPr>
        <w:t>. </w:t>
      </w:r>
      <w:r w:rsidRPr="00E232AB">
        <w:rPr>
          <w:b/>
          <w:bCs/>
        </w:rPr>
        <w:t>10, </w:t>
      </w:r>
      <w:r w:rsidRPr="00E232AB">
        <w:t>2674</w:t>
      </w:r>
      <w:r w:rsidRPr="00E232AB">
        <w:rPr>
          <w:i/>
          <w:iCs/>
        </w:rPr>
        <w:t xml:space="preserve"> </w:t>
      </w:r>
      <w:r w:rsidRPr="00E232AB">
        <w:t>(2019)</w:t>
      </w:r>
      <w:r w:rsidRPr="00E232AB">
        <w:rPr>
          <w:i/>
          <w:iCs/>
        </w:rPr>
        <w:t>.</w:t>
      </w:r>
    </w:p>
    <w:p w14:paraId="42CE279D" w14:textId="77777777" w:rsidR="00E232AB" w:rsidRPr="00E232AB" w:rsidRDefault="00E232AB" w:rsidP="000D3216">
      <w:pPr>
        <w:pStyle w:val="Acknowledgement"/>
        <w:spacing w:line="480" w:lineRule="auto"/>
        <w:ind w:firstLine="0"/>
      </w:pPr>
      <w:r w:rsidRPr="00E232AB">
        <w:t>31.</w:t>
      </w:r>
      <w:r w:rsidRPr="00E232AB">
        <w:tab/>
        <w:t xml:space="preserve">N. Geary, Understanding synergy. </w:t>
      </w:r>
      <w:r w:rsidRPr="00E232AB">
        <w:rPr>
          <w:i/>
          <w:iCs/>
        </w:rPr>
        <w:t xml:space="preserve">Am J </w:t>
      </w:r>
      <w:proofErr w:type="spellStart"/>
      <w:r w:rsidRPr="00E232AB">
        <w:rPr>
          <w:i/>
          <w:iCs/>
        </w:rPr>
        <w:t>Physiol</w:t>
      </w:r>
      <w:proofErr w:type="spellEnd"/>
      <w:r w:rsidRPr="00E232AB">
        <w:rPr>
          <w:i/>
          <w:iCs/>
        </w:rPr>
        <w:t xml:space="preserve"> Endocrinol </w:t>
      </w:r>
      <w:proofErr w:type="spellStart"/>
      <w:r w:rsidRPr="00E232AB">
        <w:rPr>
          <w:i/>
          <w:iCs/>
        </w:rPr>
        <w:t>Metab</w:t>
      </w:r>
      <w:proofErr w:type="spellEnd"/>
      <w:r w:rsidRPr="00E232AB">
        <w:t xml:space="preserve">. </w:t>
      </w:r>
      <w:r w:rsidRPr="00E232AB">
        <w:rPr>
          <w:b/>
          <w:bCs/>
        </w:rPr>
        <w:t>304</w:t>
      </w:r>
      <w:r w:rsidRPr="00E232AB">
        <w:t>, E237–53 (2013).</w:t>
      </w:r>
    </w:p>
    <w:p w14:paraId="79D27C23" w14:textId="77777777" w:rsidR="00E232AB" w:rsidRPr="00E232AB" w:rsidRDefault="00E232AB" w:rsidP="000D3216">
      <w:pPr>
        <w:pStyle w:val="Acknowledgement"/>
        <w:spacing w:line="480" w:lineRule="auto"/>
        <w:ind w:firstLine="0"/>
      </w:pPr>
      <w:r w:rsidRPr="00E232AB">
        <w:t>32.</w:t>
      </w:r>
      <w:r w:rsidRPr="00E232AB">
        <w:tab/>
        <w:t xml:space="preserve">D. J. Wooten, C. T. Meyer, A. L. R. Lubbock, V. </w:t>
      </w:r>
      <w:proofErr w:type="spellStart"/>
      <w:r w:rsidRPr="00E232AB">
        <w:t>Quaranta</w:t>
      </w:r>
      <w:proofErr w:type="spellEnd"/>
      <w:r w:rsidRPr="00E232AB">
        <w:t xml:space="preserve">, C. F. Lopez, </w:t>
      </w:r>
      <w:proofErr w:type="spellStart"/>
      <w:r w:rsidRPr="00E232AB">
        <w:t>MuSyC</w:t>
      </w:r>
      <w:proofErr w:type="spellEnd"/>
      <w:r w:rsidRPr="00E232AB">
        <w:t xml:space="preserve"> is a consensus framework that unifies multi-drug synergy metrics for combinatorial drug discovery. </w:t>
      </w:r>
      <w:r w:rsidRPr="00E232AB">
        <w:rPr>
          <w:i/>
          <w:iCs/>
        </w:rPr>
        <w:t xml:space="preserve">Nat </w:t>
      </w:r>
      <w:proofErr w:type="spellStart"/>
      <w:r w:rsidRPr="00E232AB">
        <w:rPr>
          <w:i/>
          <w:iCs/>
        </w:rPr>
        <w:t>Commun</w:t>
      </w:r>
      <w:proofErr w:type="spellEnd"/>
      <w:r w:rsidRPr="00E232AB">
        <w:t xml:space="preserve">. </w:t>
      </w:r>
      <w:r w:rsidRPr="00E232AB">
        <w:rPr>
          <w:b/>
          <w:bCs/>
        </w:rPr>
        <w:t>12</w:t>
      </w:r>
      <w:r w:rsidRPr="00E232AB">
        <w:t>, 4607–16 (2021).</w:t>
      </w:r>
    </w:p>
    <w:p w14:paraId="1AF13D35" w14:textId="77777777" w:rsidR="00E232AB" w:rsidRPr="00E232AB" w:rsidRDefault="00E232AB" w:rsidP="000D3216">
      <w:pPr>
        <w:pStyle w:val="Acknowledgement"/>
        <w:spacing w:line="480" w:lineRule="auto"/>
        <w:ind w:firstLine="0"/>
      </w:pPr>
      <w:r w:rsidRPr="00E232AB">
        <w:t>33.</w:t>
      </w:r>
      <w:r w:rsidRPr="00E232AB">
        <w:tab/>
        <w:t xml:space="preserve">K. Han, E. E. Jeng, G. T. Hess, D. W. Morgens, A. Li, M. C. </w:t>
      </w:r>
      <w:proofErr w:type="spellStart"/>
      <w:r w:rsidRPr="00E232AB">
        <w:t>Bassik</w:t>
      </w:r>
      <w:proofErr w:type="spellEnd"/>
      <w:r w:rsidRPr="00E232AB">
        <w:t xml:space="preserve">, Synergistic drug combinations for cancer identified in a CRISPR screen for pairwise genetic interactions. </w:t>
      </w:r>
      <w:r w:rsidRPr="00E232AB">
        <w:rPr>
          <w:i/>
          <w:iCs/>
        </w:rPr>
        <w:t xml:space="preserve">Nature Biotechnology. </w:t>
      </w:r>
      <w:r w:rsidRPr="00E232AB">
        <w:rPr>
          <w:b/>
          <w:bCs/>
        </w:rPr>
        <w:t>35</w:t>
      </w:r>
      <w:r w:rsidRPr="00E232AB">
        <w:t>, 463–474 (2017).</w:t>
      </w:r>
    </w:p>
    <w:p w14:paraId="33C5E2B6" w14:textId="77777777" w:rsidR="00E232AB" w:rsidRPr="00E232AB" w:rsidRDefault="00E232AB" w:rsidP="000D3216">
      <w:pPr>
        <w:pStyle w:val="Acknowledgement"/>
        <w:spacing w:line="480" w:lineRule="auto"/>
        <w:ind w:firstLine="0"/>
      </w:pPr>
      <w:r w:rsidRPr="00E232AB">
        <w:t>34.</w:t>
      </w:r>
      <w:r w:rsidRPr="00E232AB">
        <w:tab/>
        <w:t xml:space="preserve">A. C. Palmer, P. K. </w:t>
      </w:r>
      <w:proofErr w:type="spellStart"/>
      <w:r w:rsidRPr="00E232AB">
        <w:t>Sorger</w:t>
      </w:r>
      <w:proofErr w:type="spellEnd"/>
      <w:r w:rsidRPr="00E232AB">
        <w:t xml:space="preserve">, Combination Cancer Therapy Can Confer Benefit via Patient-to-Patient Variability without Drug Additivity or Synergy. </w:t>
      </w:r>
      <w:r w:rsidRPr="00E232AB">
        <w:rPr>
          <w:i/>
          <w:iCs/>
        </w:rPr>
        <w:t>Cell</w:t>
      </w:r>
      <w:r w:rsidRPr="00E232AB">
        <w:t xml:space="preserve">. </w:t>
      </w:r>
      <w:r w:rsidRPr="00E232AB">
        <w:rPr>
          <w:b/>
          <w:bCs/>
        </w:rPr>
        <w:t>171</w:t>
      </w:r>
      <w:r w:rsidRPr="00E232AB">
        <w:t>, 1678–1691.e13 (2017).</w:t>
      </w:r>
    </w:p>
    <w:p w14:paraId="49972C65" w14:textId="77777777" w:rsidR="00E232AB" w:rsidRPr="00E232AB" w:rsidRDefault="00E232AB" w:rsidP="000D3216">
      <w:pPr>
        <w:pStyle w:val="Acknowledgement"/>
        <w:spacing w:line="480" w:lineRule="auto"/>
        <w:ind w:firstLine="0"/>
      </w:pPr>
      <w:r w:rsidRPr="00E232AB">
        <w:lastRenderedPageBreak/>
        <w:t xml:space="preserve">35. </w:t>
      </w:r>
      <w:r w:rsidRPr="00E232AB">
        <w:tab/>
        <w:t xml:space="preserve">        J. M. </w:t>
      </w:r>
      <w:proofErr w:type="spellStart"/>
      <w:r w:rsidRPr="00E232AB">
        <w:t>Villaveces</w:t>
      </w:r>
      <w:proofErr w:type="spellEnd"/>
      <w:r w:rsidRPr="00E232AB">
        <w:t xml:space="preserve">, R. C. Jimenez, P. Porras, N. del-Toro, M. </w:t>
      </w:r>
      <w:proofErr w:type="spellStart"/>
      <w:r w:rsidRPr="00E232AB">
        <w:t>Duesbury</w:t>
      </w:r>
      <w:proofErr w:type="spellEnd"/>
      <w:r w:rsidRPr="00E232AB">
        <w:t xml:space="preserve">, M. </w:t>
      </w:r>
      <w:proofErr w:type="spellStart"/>
      <w:r w:rsidRPr="00E232AB">
        <w:t>Dumousseau</w:t>
      </w:r>
      <w:proofErr w:type="spellEnd"/>
      <w:r w:rsidRPr="00E232AB">
        <w:t xml:space="preserve">, S. Orchard, H. Choi, P. Ping, N. C. </w:t>
      </w:r>
      <w:proofErr w:type="spellStart"/>
      <w:r w:rsidRPr="00E232AB">
        <w:t>Zong</w:t>
      </w:r>
      <w:proofErr w:type="spellEnd"/>
      <w:r w:rsidRPr="00E232AB">
        <w:t xml:space="preserve">, M. </w:t>
      </w:r>
      <w:proofErr w:type="spellStart"/>
      <w:r w:rsidRPr="00E232AB">
        <w:t>Askenazi</w:t>
      </w:r>
      <w:proofErr w:type="spellEnd"/>
      <w:r w:rsidRPr="00E232AB">
        <w:t xml:space="preserve">, B. H. </w:t>
      </w:r>
      <w:proofErr w:type="spellStart"/>
      <w:r w:rsidRPr="00E232AB">
        <w:t>Habermann</w:t>
      </w:r>
      <w:proofErr w:type="spellEnd"/>
      <w:r w:rsidRPr="00E232AB">
        <w:t xml:space="preserve">, H. </w:t>
      </w:r>
      <w:proofErr w:type="spellStart"/>
      <w:r w:rsidRPr="00E232AB">
        <w:t>Hermjakob</w:t>
      </w:r>
      <w:proofErr w:type="spellEnd"/>
      <w:r w:rsidRPr="00E232AB">
        <w:t xml:space="preserve">, Merging and scoring molecular interactions </w:t>
      </w:r>
      <w:proofErr w:type="spellStart"/>
      <w:r w:rsidRPr="00E232AB">
        <w:t>utilising</w:t>
      </w:r>
      <w:proofErr w:type="spellEnd"/>
      <w:r w:rsidRPr="00E232AB">
        <w:t xml:space="preserve"> existing community standards: tools, use-</w:t>
      </w:r>
      <w:proofErr w:type="gramStart"/>
      <w:r w:rsidRPr="00E232AB">
        <w:t>cases</w:t>
      </w:r>
      <w:proofErr w:type="gramEnd"/>
      <w:r w:rsidRPr="00E232AB">
        <w:t xml:space="preserve"> and a case study. </w:t>
      </w:r>
      <w:r w:rsidRPr="00E232AB">
        <w:rPr>
          <w:i/>
          <w:iCs/>
        </w:rPr>
        <w:t>Database (Oxford)</w:t>
      </w:r>
      <w:r w:rsidRPr="00E232AB">
        <w:t>. </w:t>
      </w:r>
      <w:r w:rsidRPr="00E232AB">
        <w:rPr>
          <w:b/>
          <w:bCs/>
        </w:rPr>
        <w:t>2015</w:t>
      </w:r>
      <w:r w:rsidRPr="00E232AB">
        <w:t>, bau131–bau131 (2015).</w:t>
      </w:r>
    </w:p>
    <w:p w14:paraId="478EF515" w14:textId="77777777" w:rsidR="00E232AB" w:rsidRPr="00E232AB" w:rsidRDefault="00E232AB" w:rsidP="000D3216">
      <w:pPr>
        <w:pStyle w:val="Acknowledgement"/>
        <w:spacing w:line="480" w:lineRule="auto"/>
        <w:ind w:firstLine="0"/>
      </w:pPr>
      <w:r w:rsidRPr="00E232AB">
        <w:t xml:space="preserve">36.           P. B. Ryan, M. J. </w:t>
      </w:r>
      <w:proofErr w:type="spellStart"/>
      <w:r w:rsidRPr="00E232AB">
        <w:t>Schuemie</w:t>
      </w:r>
      <w:proofErr w:type="spellEnd"/>
      <w:r w:rsidRPr="00E232AB">
        <w:t xml:space="preserve">, S. Gruber, I. </w:t>
      </w:r>
      <w:proofErr w:type="spellStart"/>
      <w:r w:rsidRPr="00E232AB">
        <w:t>Zorych</w:t>
      </w:r>
      <w:proofErr w:type="spellEnd"/>
      <w:r w:rsidRPr="00E232AB">
        <w:t xml:space="preserve">, D. Madigan, Empirical performance of a new user cohort method: lessons for developing a risk identification and analysis system. </w:t>
      </w:r>
      <w:r w:rsidRPr="00E232AB">
        <w:rPr>
          <w:i/>
          <w:iCs/>
        </w:rPr>
        <w:t xml:space="preserve">Drug </w:t>
      </w:r>
      <w:proofErr w:type="spellStart"/>
      <w:r w:rsidRPr="00E232AB">
        <w:rPr>
          <w:i/>
          <w:iCs/>
        </w:rPr>
        <w:t>Saf</w:t>
      </w:r>
      <w:proofErr w:type="spellEnd"/>
      <w:r w:rsidRPr="00E232AB">
        <w:t xml:space="preserve">. </w:t>
      </w:r>
      <w:r w:rsidRPr="00E232AB">
        <w:rPr>
          <w:b/>
          <w:bCs/>
        </w:rPr>
        <w:t>36 Suppl 1</w:t>
      </w:r>
      <w:r w:rsidRPr="00E232AB">
        <w:t>, S59–72 (2013).</w:t>
      </w:r>
    </w:p>
    <w:p w14:paraId="76A52C37" w14:textId="77777777" w:rsidR="00E232AB" w:rsidRDefault="00E232AB" w:rsidP="000D3216">
      <w:pPr>
        <w:pStyle w:val="Acknowledgement"/>
        <w:spacing w:line="480" w:lineRule="auto"/>
        <w:ind w:firstLine="0"/>
        <w:rPr>
          <w:b/>
        </w:rPr>
      </w:pPr>
    </w:p>
    <w:p w14:paraId="16D4C06E" w14:textId="03E843D9" w:rsidR="00955C09" w:rsidRPr="00175CBB" w:rsidRDefault="004A10BE" w:rsidP="000D3216">
      <w:pPr>
        <w:pStyle w:val="Acknowledgement"/>
        <w:spacing w:line="480" w:lineRule="auto"/>
        <w:ind w:firstLine="0"/>
      </w:pPr>
      <w:r w:rsidRPr="00175CBB">
        <w:rPr>
          <w:b/>
        </w:rPr>
        <w:t>Acknowledgments:</w:t>
      </w:r>
      <w:r w:rsidRPr="00175CBB">
        <w:t xml:space="preserve"> </w:t>
      </w:r>
      <w:r w:rsidR="00E232AB" w:rsidRPr="00E232AB">
        <w:t>The authors would like to thank Graham Erwin and Emily Flynn for reading the manuscript</w:t>
      </w:r>
      <w:r w:rsidR="00F06437">
        <w:t xml:space="preserve">, and </w:t>
      </w:r>
      <w:proofErr w:type="spellStart"/>
      <w:r w:rsidR="00F06437">
        <w:t>Oluseyi</w:t>
      </w:r>
      <w:proofErr w:type="spellEnd"/>
      <w:r w:rsidR="00F06437">
        <w:t xml:space="preserve"> Adeniyi</w:t>
      </w:r>
      <w:r w:rsidR="00EB6A4F">
        <w:t xml:space="preserve">, </w:t>
      </w:r>
      <w:proofErr w:type="spellStart"/>
      <w:r w:rsidR="00EB6A4F">
        <w:t>Jielin</w:t>
      </w:r>
      <w:proofErr w:type="spellEnd"/>
      <w:r w:rsidR="00EB6A4F">
        <w:t xml:space="preserve"> Sun,</w:t>
      </w:r>
      <w:r w:rsidR="00F06437">
        <w:t xml:space="preserve"> and </w:t>
      </w:r>
      <w:r w:rsidR="000877D9">
        <w:t>Michael</w:t>
      </w:r>
      <w:r w:rsidR="00F06437">
        <w:t xml:space="preserve"> </w:t>
      </w:r>
      <w:proofErr w:type="spellStart"/>
      <w:r w:rsidR="00F06437">
        <w:t>Pacanowski</w:t>
      </w:r>
      <w:proofErr w:type="spellEnd"/>
      <w:r w:rsidR="00F06437">
        <w:t xml:space="preserve"> for reading the manuscript and helpful discussions about the material.</w:t>
      </w:r>
    </w:p>
    <w:p w14:paraId="55964FFA" w14:textId="51BD3867" w:rsidR="00664164" w:rsidRPr="00175CBB" w:rsidRDefault="004A10BE" w:rsidP="00580DBC">
      <w:pPr>
        <w:pStyle w:val="Acknowledgement"/>
        <w:spacing w:line="480" w:lineRule="auto"/>
        <w:ind w:firstLine="0"/>
      </w:pPr>
      <w:r w:rsidRPr="00175CBB">
        <w:rPr>
          <w:b/>
        </w:rPr>
        <w:t>Funding</w:t>
      </w:r>
      <w:r w:rsidRPr="00FB2A95">
        <w:rPr>
          <w:b/>
          <w:bCs/>
        </w:rPr>
        <w:t>:</w:t>
      </w:r>
      <w:r w:rsidRPr="00175CBB">
        <w:t xml:space="preserve"> </w:t>
      </w:r>
      <w:r w:rsidR="00E232AB" w:rsidRPr="00E232AB">
        <w:t xml:space="preserve">JLW </w:t>
      </w:r>
      <w:r w:rsidR="00580DBC">
        <w:t xml:space="preserve">and KG </w:t>
      </w:r>
      <w:r w:rsidR="00E232AB" w:rsidRPr="00E232AB">
        <w:t>w</w:t>
      </w:r>
      <w:r w:rsidR="00580DBC">
        <w:t xml:space="preserve">ere </w:t>
      </w:r>
      <w:r w:rsidR="00E232AB" w:rsidRPr="00E232AB">
        <w:t xml:space="preserve">supported SPARK, </w:t>
      </w:r>
      <w:r w:rsidR="00580DBC">
        <w:t xml:space="preserve">JLW was supported </w:t>
      </w:r>
      <w:r w:rsidR="00580DBC" w:rsidRPr="00E232AB">
        <w:t xml:space="preserve">by a Sanofi </w:t>
      </w:r>
      <w:proofErr w:type="spellStart"/>
      <w:r w:rsidR="00580DBC" w:rsidRPr="00E232AB">
        <w:t>iDEA</w:t>
      </w:r>
      <w:proofErr w:type="spellEnd"/>
      <w:r w:rsidR="00580DBC" w:rsidRPr="00E232AB">
        <w:t xml:space="preserve"> Award </w:t>
      </w:r>
      <w:r w:rsidR="00E232AB" w:rsidRPr="00E232AB">
        <w:t xml:space="preserve">and </w:t>
      </w:r>
      <w:r w:rsidR="00580DBC" w:rsidRPr="00580DBC">
        <w:t>Grant Number U01FD004979 from the FDA</w:t>
      </w:r>
      <w:r w:rsidR="00580DBC">
        <w:t>.</w:t>
      </w:r>
    </w:p>
    <w:p w14:paraId="1053BFB1" w14:textId="064322D4" w:rsidR="00955C09" w:rsidRPr="00175CBB" w:rsidRDefault="004A10BE" w:rsidP="00580DBC">
      <w:pPr>
        <w:pStyle w:val="Acknowledgement"/>
        <w:spacing w:line="480" w:lineRule="auto"/>
        <w:ind w:firstLine="0"/>
      </w:pPr>
      <w:r w:rsidRPr="00175CBB">
        <w:rPr>
          <w:b/>
        </w:rPr>
        <w:t>Author contributions</w:t>
      </w:r>
      <w:r w:rsidRPr="00FB2A95">
        <w:rPr>
          <w:b/>
          <w:bCs/>
        </w:rPr>
        <w:t>:</w:t>
      </w:r>
      <w:r w:rsidRPr="00175CBB">
        <w:t xml:space="preserve"> </w:t>
      </w:r>
    </w:p>
    <w:p w14:paraId="77ED9CA0" w14:textId="2D747707" w:rsidR="00955C09" w:rsidRPr="00175CBB" w:rsidRDefault="00955C09" w:rsidP="000D3216">
      <w:pPr>
        <w:pStyle w:val="Acknowledgement"/>
        <w:spacing w:before="0" w:line="480" w:lineRule="auto"/>
        <w:ind w:left="990" w:firstLine="0"/>
      </w:pPr>
      <w:r w:rsidRPr="00175CBB">
        <w:t xml:space="preserve">Conceptualization: </w:t>
      </w:r>
      <w:r w:rsidR="00E232AB">
        <w:t>JLW</w:t>
      </w:r>
    </w:p>
    <w:p w14:paraId="719EA739" w14:textId="6B6D35E1" w:rsidR="00955C09" w:rsidRPr="00175CBB" w:rsidRDefault="00955C09" w:rsidP="000D3216">
      <w:pPr>
        <w:pStyle w:val="Acknowledgement"/>
        <w:spacing w:before="0" w:line="480" w:lineRule="auto"/>
        <w:ind w:left="990" w:firstLine="0"/>
      </w:pPr>
      <w:r w:rsidRPr="00175CBB">
        <w:t xml:space="preserve">Methodology: </w:t>
      </w:r>
      <w:r w:rsidR="00E232AB">
        <w:t>JLW, RR</w:t>
      </w:r>
    </w:p>
    <w:p w14:paraId="6E8234B5" w14:textId="3C84784E" w:rsidR="00955C09" w:rsidRPr="00175CBB" w:rsidRDefault="00955C09" w:rsidP="000D3216">
      <w:pPr>
        <w:pStyle w:val="Acknowledgement"/>
        <w:spacing w:before="0" w:line="480" w:lineRule="auto"/>
        <w:ind w:left="990" w:firstLine="0"/>
      </w:pPr>
      <w:r w:rsidRPr="00175CBB">
        <w:t xml:space="preserve">Investigation: </w:t>
      </w:r>
      <w:r w:rsidR="00E232AB">
        <w:t>JLW, ES, RR</w:t>
      </w:r>
    </w:p>
    <w:p w14:paraId="142CFF77" w14:textId="75D199E8" w:rsidR="00955C09" w:rsidRPr="00175CBB" w:rsidRDefault="00955C09" w:rsidP="000D3216">
      <w:pPr>
        <w:pStyle w:val="Acknowledgement"/>
        <w:spacing w:before="0" w:line="480" w:lineRule="auto"/>
        <w:ind w:left="990" w:firstLine="0"/>
      </w:pPr>
      <w:r w:rsidRPr="00175CBB">
        <w:t xml:space="preserve">Visualization: </w:t>
      </w:r>
      <w:r w:rsidR="00E232AB">
        <w:t>JLW</w:t>
      </w:r>
    </w:p>
    <w:p w14:paraId="1D512783" w14:textId="701F7CCA" w:rsidR="00955C09" w:rsidRPr="00175CBB" w:rsidRDefault="00955C09" w:rsidP="000D3216">
      <w:pPr>
        <w:pStyle w:val="Acknowledgement"/>
        <w:spacing w:before="0" w:line="480" w:lineRule="auto"/>
        <w:ind w:left="990" w:firstLine="0"/>
      </w:pPr>
      <w:r w:rsidRPr="00175CBB">
        <w:t xml:space="preserve">Funding acquisition: </w:t>
      </w:r>
      <w:r w:rsidR="00E232AB">
        <w:t>JLW, RBA, KG, NS</w:t>
      </w:r>
    </w:p>
    <w:p w14:paraId="4D6597AB" w14:textId="1581B7AD" w:rsidR="00955C09" w:rsidRPr="00175CBB" w:rsidRDefault="00955C09" w:rsidP="000D3216">
      <w:pPr>
        <w:pStyle w:val="Acknowledgement"/>
        <w:spacing w:before="0" w:line="480" w:lineRule="auto"/>
        <w:ind w:left="990" w:firstLine="0"/>
      </w:pPr>
      <w:r w:rsidRPr="00175CBB">
        <w:t xml:space="preserve">Project administration: </w:t>
      </w:r>
      <w:r w:rsidR="00E232AB">
        <w:t>JLW</w:t>
      </w:r>
    </w:p>
    <w:p w14:paraId="4D78551C" w14:textId="4664A64C" w:rsidR="00955C09" w:rsidRPr="00175CBB" w:rsidRDefault="00955C09" w:rsidP="000D3216">
      <w:pPr>
        <w:pStyle w:val="Acknowledgement"/>
        <w:spacing w:before="0" w:line="480" w:lineRule="auto"/>
        <w:ind w:left="990" w:firstLine="0"/>
      </w:pPr>
      <w:r w:rsidRPr="00175CBB">
        <w:t xml:space="preserve">Supervision: </w:t>
      </w:r>
      <w:r w:rsidR="00E232AB">
        <w:t>RBA, NS, KG</w:t>
      </w:r>
    </w:p>
    <w:p w14:paraId="1C65F2C8" w14:textId="37AD7B89" w:rsidR="00955C09" w:rsidRPr="00175CBB" w:rsidRDefault="00955C09" w:rsidP="000D3216">
      <w:pPr>
        <w:pStyle w:val="Acknowledgement"/>
        <w:spacing w:before="0" w:line="480" w:lineRule="auto"/>
        <w:ind w:left="990" w:firstLine="0"/>
      </w:pPr>
      <w:r w:rsidRPr="00175CBB">
        <w:lastRenderedPageBreak/>
        <w:t xml:space="preserve">Writing – original draft: </w:t>
      </w:r>
      <w:r w:rsidR="00E232AB">
        <w:t>JLW</w:t>
      </w:r>
    </w:p>
    <w:p w14:paraId="0E1FB3CF" w14:textId="1E4C9E8F" w:rsidR="00955C09" w:rsidRPr="00175CBB" w:rsidRDefault="00955C09" w:rsidP="000D3216">
      <w:pPr>
        <w:pStyle w:val="Acknowledgement"/>
        <w:spacing w:before="0" w:line="480" w:lineRule="auto"/>
        <w:ind w:left="990" w:firstLine="0"/>
      </w:pPr>
      <w:r w:rsidRPr="00175CBB">
        <w:t xml:space="preserve">Writing – review &amp; editing: </w:t>
      </w:r>
      <w:r w:rsidR="00E232AB">
        <w:t xml:space="preserve">JLW, ES, RR, NS, </w:t>
      </w:r>
      <w:r w:rsidR="00E232AB" w:rsidRPr="00C93386">
        <w:t>RBA, KG</w:t>
      </w:r>
      <w:r w:rsidR="004A10BE" w:rsidRPr="00175CBB">
        <w:t xml:space="preserve"> </w:t>
      </w:r>
    </w:p>
    <w:p w14:paraId="7141B4CF" w14:textId="34E00D3D" w:rsidR="00955C09" w:rsidRPr="00175CBB" w:rsidRDefault="004A10BE" w:rsidP="000D3216">
      <w:pPr>
        <w:pStyle w:val="Acknowledgement"/>
        <w:spacing w:line="480" w:lineRule="auto"/>
        <w:ind w:firstLine="0"/>
      </w:pPr>
      <w:r w:rsidRPr="00175CBB">
        <w:rPr>
          <w:b/>
        </w:rPr>
        <w:t>Competing interests</w:t>
      </w:r>
      <w:r w:rsidRPr="00FB2A95">
        <w:rPr>
          <w:b/>
          <w:bCs/>
        </w:rPr>
        <w:t>:</w:t>
      </w:r>
      <w:r w:rsidRPr="00175CBB">
        <w:t xml:space="preserve"> </w:t>
      </w:r>
      <w:r w:rsidR="00E232AB" w:rsidRPr="00E232AB">
        <w:t xml:space="preserve">RBA is a founder and stockholder in </w:t>
      </w:r>
      <w:proofErr w:type="spellStart"/>
      <w:r w:rsidR="00E232AB" w:rsidRPr="00E232AB">
        <w:t>Personalis</w:t>
      </w:r>
      <w:proofErr w:type="spellEnd"/>
      <w:r w:rsidR="00E232AB" w:rsidRPr="00E232AB">
        <w:t>, and a stockholder in 23andMe; he declares no conflicts of interest</w:t>
      </w:r>
      <w:r w:rsidR="00E232AB">
        <w:t>.</w:t>
      </w:r>
      <w:r w:rsidR="00C93386">
        <w:t xml:space="preserve"> JLW was a consultant for Sanofi from July-Dec 2021</w:t>
      </w:r>
      <w:r w:rsidR="00272347">
        <w:t>; she declares no conflicts of interest.</w:t>
      </w:r>
    </w:p>
    <w:p w14:paraId="00C25447" w14:textId="5A8B530B" w:rsidR="004A10BE" w:rsidRPr="00175CBB" w:rsidRDefault="004A10BE" w:rsidP="000D3216">
      <w:pPr>
        <w:pStyle w:val="Acknowledgement"/>
        <w:spacing w:line="480" w:lineRule="auto"/>
        <w:ind w:firstLine="0"/>
      </w:pPr>
      <w:r w:rsidRPr="00175CBB">
        <w:rPr>
          <w:b/>
        </w:rPr>
        <w:t>Data and materials availability</w:t>
      </w:r>
      <w:r w:rsidRPr="00FB2A95">
        <w:rPr>
          <w:b/>
          <w:bCs/>
        </w:rPr>
        <w:t>:</w:t>
      </w:r>
      <w:r w:rsidRPr="00175CBB">
        <w:t xml:space="preserve"> </w:t>
      </w:r>
      <w:r w:rsidR="00955C09" w:rsidRPr="00175CBB">
        <w:t>All data are available in the main text or the supplementary materials.</w:t>
      </w:r>
    </w:p>
    <w:p w14:paraId="3A27CAA3" w14:textId="77777777" w:rsidR="004A10BE" w:rsidRPr="00175CBB" w:rsidRDefault="004A10BE" w:rsidP="000D3216">
      <w:pPr>
        <w:pStyle w:val="Acknowledgement"/>
        <w:spacing w:line="480" w:lineRule="auto"/>
        <w:ind w:firstLine="0"/>
      </w:pPr>
      <w:r w:rsidRPr="00175CBB">
        <w:rPr>
          <w:b/>
        </w:rPr>
        <w:t>Figures</w:t>
      </w:r>
      <w:r w:rsidRPr="00FB2A95">
        <w:rPr>
          <w:b/>
          <w:bCs/>
        </w:rPr>
        <w:t xml:space="preserve"> </w:t>
      </w:r>
    </w:p>
    <w:p w14:paraId="4F11A22E" w14:textId="72879434" w:rsidR="00F471B1" w:rsidRDefault="00F471B1" w:rsidP="000D3216">
      <w:pPr>
        <w:pStyle w:val="Acknowledgement"/>
        <w:spacing w:line="480" w:lineRule="auto"/>
        <w:ind w:firstLine="0"/>
        <w:jc w:val="center"/>
        <w:rPr>
          <w:b/>
        </w:rPr>
      </w:pPr>
      <w:r>
        <w:rPr>
          <w:b/>
          <w:noProof/>
        </w:rPr>
        <w:drawing>
          <wp:inline distT="0" distB="0" distL="0" distR="0" wp14:anchorId="564D7265" wp14:editId="742A6EEB">
            <wp:extent cx="3276600" cy="2209800"/>
            <wp:effectExtent l="0" t="0" r="0" b="0"/>
            <wp:docPr id="2" name="Picture 2"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ape&#10;&#10;Description automatically generated"/>
                    <pic:cNvPicPr/>
                  </pic:nvPicPr>
                  <pic:blipFill>
                    <a:blip r:embed="rId13"/>
                    <a:stretch>
                      <a:fillRect/>
                    </a:stretch>
                  </pic:blipFill>
                  <pic:spPr>
                    <a:xfrm>
                      <a:off x="0" y="0"/>
                      <a:ext cx="3276600" cy="2209800"/>
                    </a:xfrm>
                    <a:prstGeom prst="rect">
                      <a:avLst/>
                    </a:prstGeom>
                  </pic:spPr>
                </pic:pic>
              </a:graphicData>
            </a:graphic>
          </wp:inline>
        </w:drawing>
      </w:r>
    </w:p>
    <w:p w14:paraId="3C6CDEC9" w14:textId="55F8B4DD" w:rsidR="004A10BE" w:rsidRDefault="004A10BE" w:rsidP="000D3216">
      <w:pPr>
        <w:pStyle w:val="Acknowledgement"/>
        <w:spacing w:line="480" w:lineRule="auto"/>
        <w:ind w:firstLine="0"/>
      </w:pPr>
      <w:r w:rsidRPr="00175CBB">
        <w:rPr>
          <w:b/>
        </w:rPr>
        <w:t>Fig. 1</w:t>
      </w:r>
      <w:r w:rsidRPr="00175CBB">
        <w:t xml:space="preserve">. </w:t>
      </w:r>
      <w:r w:rsidR="00F471B1" w:rsidRPr="009F0463">
        <w:rPr>
          <w:b/>
          <w:bCs/>
        </w:rPr>
        <w:t>A downstream-protein paradigm for detecting drug-drug interactions is distinct from a shared-protein paradigm</w:t>
      </w:r>
      <w:r w:rsidR="00F471B1">
        <w:t>. In a shared protein mechanism, two drugs share a protein target (transporter, metabolizing enzyme, etc.), and this competition causes an adverse outcome. In a network protein mechanism, protein-protein interactions connect drugs’ target proteins. A DDI is caused when a second drug targets a protein downstream of the original drug. Downstream proteins can be used to reclassify drugs.</w:t>
      </w:r>
    </w:p>
    <w:p w14:paraId="413F5A07" w14:textId="7FD47CCB" w:rsidR="00F471B1" w:rsidRPr="00175CBB" w:rsidRDefault="009762FC" w:rsidP="000D3216">
      <w:pPr>
        <w:pStyle w:val="Acknowledgement"/>
        <w:spacing w:line="480" w:lineRule="auto"/>
        <w:ind w:firstLine="0"/>
      </w:pPr>
      <w:r>
        <w:rPr>
          <w:noProof/>
        </w:rPr>
        <w:lastRenderedPageBreak/>
        <w:drawing>
          <wp:inline distT="0" distB="0" distL="0" distR="0" wp14:anchorId="15C46CDD" wp14:editId="082A773B">
            <wp:extent cx="5943600" cy="418338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183380"/>
                    </a:xfrm>
                    <a:prstGeom prst="rect">
                      <a:avLst/>
                    </a:prstGeom>
                  </pic:spPr>
                </pic:pic>
              </a:graphicData>
            </a:graphic>
          </wp:inline>
        </w:drawing>
      </w:r>
    </w:p>
    <w:p w14:paraId="448B50DA" w14:textId="3E9C0EA3" w:rsidR="00F471B1" w:rsidRDefault="004A10BE" w:rsidP="000D3216">
      <w:pPr>
        <w:pStyle w:val="Acknowledgement"/>
        <w:spacing w:line="480" w:lineRule="auto"/>
        <w:ind w:firstLine="0"/>
      </w:pPr>
      <w:r w:rsidRPr="00175CBB">
        <w:rPr>
          <w:b/>
        </w:rPr>
        <w:t>Fig. 2.</w:t>
      </w:r>
      <w:r w:rsidRPr="00175CBB">
        <w:t xml:space="preserve"> </w:t>
      </w:r>
      <w:r w:rsidR="00F471B1" w:rsidRPr="00F471B1">
        <w:rPr>
          <w:b/>
          <w:bCs/>
        </w:rPr>
        <w:t xml:space="preserve">Project workflow used pathway modeling and electronic health record analysis to assess DDIs predicted by network class. </w:t>
      </w:r>
      <w:r w:rsidR="00F471B1" w:rsidRPr="00F471B1">
        <w:t>(</w:t>
      </w:r>
      <w:r w:rsidR="00F471B1" w:rsidRPr="00F471B1">
        <w:rPr>
          <w:b/>
          <w:bCs/>
        </w:rPr>
        <w:t>A</w:t>
      </w:r>
      <w:r w:rsidR="00F471B1" w:rsidRPr="00F471B1">
        <w:t>) Starting with drug-A</w:t>
      </w:r>
      <w:r w:rsidR="00F471B1">
        <w:t>D</w:t>
      </w:r>
      <w:r w:rsidR="00F471B1" w:rsidRPr="00F471B1">
        <w:t>R relationships from drug labels, we used PPI modeling and network classification to predict DDIs (workflow demonstrated for ARPs). We filtered predicted DDIs using TWOSIDES for further validation. (</w:t>
      </w:r>
      <w:r w:rsidR="00F471B1" w:rsidRPr="00F471B1">
        <w:rPr>
          <w:b/>
          <w:bCs/>
        </w:rPr>
        <w:t>B</w:t>
      </w:r>
      <w:r w:rsidR="00F471B1" w:rsidRPr="00F471B1">
        <w:t>) The starting drug-A</w:t>
      </w:r>
      <w:r w:rsidR="00F471B1">
        <w:t>D</w:t>
      </w:r>
      <w:r w:rsidR="00F471B1" w:rsidRPr="00F471B1">
        <w:t>R dataset comprised 1970 drugs associ</w:t>
      </w:r>
      <w:r w:rsidR="00F471B1">
        <w:t>at</w:t>
      </w:r>
      <w:r w:rsidR="00F471B1" w:rsidRPr="00F471B1">
        <w:t xml:space="preserve">ed with 34 different adverse </w:t>
      </w:r>
      <w:r w:rsidR="00F471B1">
        <w:t xml:space="preserve">drug </w:t>
      </w:r>
      <w:r w:rsidR="00F471B1" w:rsidRPr="00F471B1">
        <w:t>reactions (A</w:t>
      </w:r>
      <w:r w:rsidR="00F471B1">
        <w:t>D</w:t>
      </w:r>
      <w:r w:rsidR="00F471B1" w:rsidRPr="00F471B1">
        <w:t>Rs). For the 970 drugs with targets connected to our interactome, we constructed networks and looked for downstream associations to A</w:t>
      </w:r>
      <w:r w:rsidR="00F471B1">
        <w:t>D</w:t>
      </w:r>
      <w:r w:rsidR="00F471B1" w:rsidRPr="00F471B1">
        <w:t>Rs. We used downstream AR-associated proteins (ARPs) to define network classes and predicted DDIs where non-A</w:t>
      </w:r>
      <w:r w:rsidR="00F471B1">
        <w:t>D</w:t>
      </w:r>
      <w:r w:rsidR="00F471B1" w:rsidRPr="00F471B1">
        <w:t>R drugs targeted downstream proteins. The figure depicts a hypothetical “GENE A” class based on the downstream protein, “A”. (</w:t>
      </w:r>
      <w:r w:rsidR="00F471B1" w:rsidRPr="00F471B1">
        <w:rPr>
          <w:b/>
          <w:bCs/>
        </w:rPr>
        <w:t>C</w:t>
      </w:r>
      <w:r w:rsidR="00F471B1" w:rsidRPr="00F471B1">
        <w:t xml:space="preserve">) We validated predicted DDIs by measuring hazard ratios </w:t>
      </w:r>
      <w:r w:rsidR="00F471B1" w:rsidRPr="00F471B1">
        <w:lastRenderedPageBreak/>
        <w:t>between “network” and “non-network” classes with (top row) and without (bottom row) the predicted combination drug and take the ratio of HRs to estimate the DDI effect. Hypothetical example shown to depict experimental set-up.</w:t>
      </w:r>
    </w:p>
    <w:p w14:paraId="3A5B0DC9" w14:textId="522CB47B" w:rsidR="00F471B1" w:rsidRDefault="00F471B1" w:rsidP="000D3216">
      <w:pPr>
        <w:pStyle w:val="Acknowledgement"/>
        <w:spacing w:line="480" w:lineRule="auto"/>
        <w:ind w:firstLine="0"/>
        <w:rPr>
          <w:b/>
          <w:bCs/>
        </w:rPr>
      </w:pPr>
    </w:p>
    <w:p w14:paraId="1814B212" w14:textId="6ABB0145" w:rsidR="00F471B1" w:rsidRPr="00F471B1" w:rsidRDefault="00556913" w:rsidP="000D3216">
      <w:pPr>
        <w:pStyle w:val="Acknowledgement"/>
        <w:spacing w:line="480" w:lineRule="auto"/>
        <w:ind w:firstLine="0"/>
        <w:jc w:val="center"/>
        <w:rPr>
          <w:b/>
          <w:bCs/>
        </w:rPr>
      </w:pPr>
      <w:r>
        <w:rPr>
          <w:b/>
          <w:bCs/>
          <w:noProof/>
        </w:rPr>
        <w:drawing>
          <wp:inline distT="0" distB="0" distL="0" distR="0" wp14:anchorId="232C9FD1" wp14:editId="3F602198">
            <wp:extent cx="5943600" cy="340868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408680"/>
                    </a:xfrm>
                    <a:prstGeom prst="rect">
                      <a:avLst/>
                    </a:prstGeom>
                  </pic:spPr>
                </pic:pic>
              </a:graphicData>
            </a:graphic>
          </wp:inline>
        </w:drawing>
      </w:r>
    </w:p>
    <w:p w14:paraId="02123BFF" w14:textId="25FFE403" w:rsidR="00F471B1" w:rsidRDefault="00F471B1" w:rsidP="000D3216">
      <w:pPr>
        <w:pStyle w:val="Acknowledgement"/>
        <w:spacing w:line="480" w:lineRule="auto"/>
        <w:ind w:firstLine="0"/>
      </w:pPr>
      <w:r w:rsidRPr="00175CBB">
        <w:rPr>
          <w:b/>
        </w:rPr>
        <w:t xml:space="preserve">Fig. </w:t>
      </w:r>
      <w:r>
        <w:rPr>
          <w:b/>
        </w:rPr>
        <w:t>3</w:t>
      </w:r>
      <w:r w:rsidRPr="00175CBB">
        <w:rPr>
          <w:b/>
        </w:rPr>
        <w:t>.</w:t>
      </w:r>
      <w:r w:rsidRPr="00175CBB">
        <w:t xml:space="preserve"> </w:t>
      </w:r>
      <w:r>
        <w:rPr>
          <w:b/>
          <w:bCs/>
        </w:rPr>
        <w:t xml:space="preserve">Drug networks have common target and downstream proteins across and within ADRs. </w:t>
      </w:r>
      <w:r>
        <w:t>(</w:t>
      </w:r>
      <w:r>
        <w:rPr>
          <w:b/>
          <w:bCs/>
        </w:rPr>
        <w:t>A</w:t>
      </w:r>
      <w:r>
        <w:t>) The most common target (red) and downstream (grey) proteins (rows) for all drug networks associated with 24 ADRs (columns). Protein count indicates in how many drug networks the protein appears (</w:t>
      </w:r>
      <w:r>
        <w:rPr>
          <w:b/>
          <w:bCs/>
        </w:rPr>
        <w:t>B</w:t>
      </w:r>
      <w:r>
        <w:t>) Target (red) and downstream (grey) proteins (columns) for all sepsis-associated drugs networks (rows).</w:t>
      </w:r>
    </w:p>
    <w:p w14:paraId="37ABAB26" w14:textId="3385FD71" w:rsidR="008573F1" w:rsidRDefault="008573F1" w:rsidP="000D3216">
      <w:pPr>
        <w:pStyle w:val="Acknowledgement"/>
        <w:spacing w:line="480" w:lineRule="auto"/>
        <w:ind w:firstLine="0"/>
      </w:pPr>
    </w:p>
    <w:p w14:paraId="1756ED03" w14:textId="5088C5EA" w:rsidR="00F471B1" w:rsidRDefault="00104AEE" w:rsidP="000D3216">
      <w:pPr>
        <w:pStyle w:val="Legend"/>
        <w:spacing w:line="480" w:lineRule="auto"/>
        <w:jc w:val="center"/>
        <w:rPr>
          <w:b/>
          <w:bCs/>
        </w:rPr>
      </w:pPr>
      <w:r>
        <w:rPr>
          <w:b/>
          <w:bCs/>
          <w:noProof/>
        </w:rPr>
        <w:lastRenderedPageBreak/>
        <w:drawing>
          <wp:inline distT="0" distB="0" distL="0" distR="0" wp14:anchorId="2A1D813E" wp14:editId="24DBCA2A">
            <wp:extent cx="4956772" cy="1477010"/>
            <wp:effectExtent l="0" t="0" r="0" b="0"/>
            <wp:docPr id="5" name="Picture 5"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 Word&#10;&#10;Description automatically generated"/>
                    <pic:cNvPicPr/>
                  </pic:nvPicPr>
                  <pic:blipFill rotWithShape="1">
                    <a:blip r:embed="rId16" cstate="print">
                      <a:extLst>
                        <a:ext uri="{28A0092B-C50C-407E-A947-70E740481C1C}">
                          <a14:useLocalDpi xmlns:a14="http://schemas.microsoft.com/office/drawing/2010/main" val="0"/>
                        </a:ext>
                      </a:extLst>
                    </a:blip>
                    <a:srcRect l="16603"/>
                    <a:stretch/>
                  </pic:blipFill>
                  <pic:spPr bwMode="auto">
                    <a:xfrm>
                      <a:off x="0" y="0"/>
                      <a:ext cx="4956772" cy="1477010"/>
                    </a:xfrm>
                    <a:prstGeom prst="rect">
                      <a:avLst/>
                    </a:prstGeom>
                    <a:ln>
                      <a:noFill/>
                    </a:ln>
                    <a:extLst>
                      <a:ext uri="{53640926-AAD7-44D8-BBD7-CCE9431645EC}">
                        <a14:shadowObscured xmlns:a14="http://schemas.microsoft.com/office/drawing/2010/main"/>
                      </a:ext>
                    </a:extLst>
                  </pic:spPr>
                </pic:pic>
              </a:graphicData>
            </a:graphic>
          </wp:inline>
        </w:drawing>
      </w:r>
    </w:p>
    <w:p w14:paraId="7DBD9597" w14:textId="5835E6F6" w:rsidR="00F471B1" w:rsidRDefault="00F471B1" w:rsidP="000D3216">
      <w:pPr>
        <w:pStyle w:val="Acknowledgement"/>
        <w:spacing w:line="480" w:lineRule="auto"/>
        <w:ind w:firstLine="0"/>
      </w:pPr>
      <w:r w:rsidRPr="00175CBB">
        <w:rPr>
          <w:b/>
        </w:rPr>
        <w:t xml:space="preserve">Fig. </w:t>
      </w:r>
      <w:r>
        <w:rPr>
          <w:b/>
        </w:rPr>
        <w:t>3</w:t>
      </w:r>
      <w:r w:rsidRPr="00175CBB">
        <w:rPr>
          <w:b/>
        </w:rPr>
        <w:t>.</w:t>
      </w:r>
      <w:r w:rsidRPr="00175CBB">
        <w:t xml:space="preserve"> </w:t>
      </w:r>
      <w:r>
        <w:rPr>
          <w:b/>
          <w:bCs/>
        </w:rPr>
        <w:t xml:space="preserve">Hazard ratio estimates for ADBR2 and T-E-N network classes. </w:t>
      </w:r>
      <w:r w:rsidRPr="0070150D">
        <w:t>We estima</w:t>
      </w:r>
      <w:r>
        <w:t>ted the between class effects with and without a combination drug for two predicted DDI effects.</w:t>
      </w:r>
    </w:p>
    <w:p w14:paraId="3658A72D" w14:textId="77777777" w:rsidR="00F471B1" w:rsidRPr="00175CBB" w:rsidRDefault="00F471B1" w:rsidP="000D3216">
      <w:pPr>
        <w:pStyle w:val="Acknowledgement"/>
        <w:spacing w:line="480" w:lineRule="auto"/>
        <w:ind w:firstLine="0"/>
      </w:pPr>
    </w:p>
    <w:tbl>
      <w:tblPr>
        <w:tblStyle w:val="TableGrid"/>
        <w:tblW w:w="0" w:type="auto"/>
        <w:tblLook w:val="04A0" w:firstRow="1" w:lastRow="0" w:firstColumn="1" w:lastColumn="0" w:noHBand="0" w:noVBand="1"/>
      </w:tblPr>
      <w:tblGrid>
        <w:gridCol w:w="3116"/>
        <w:gridCol w:w="3117"/>
        <w:gridCol w:w="3117"/>
      </w:tblGrid>
      <w:tr w:rsidR="00FD019C" w14:paraId="19F2303F" w14:textId="77777777" w:rsidTr="00ED1C8C">
        <w:tc>
          <w:tcPr>
            <w:tcW w:w="3116" w:type="dxa"/>
          </w:tcPr>
          <w:p w14:paraId="4E73EEB3" w14:textId="77777777" w:rsidR="00FD019C" w:rsidRPr="004C5C4C" w:rsidRDefault="00FD019C" w:rsidP="000D3216">
            <w:pPr>
              <w:pStyle w:val="Teaser"/>
              <w:spacing w:line="480" w:lineRule="auto"/>
            </w:pPr>
          </w:p>
        </w:tc>
        <w:tc>
          <w:tcPr>
            <w:tcW w:w="3117" w:type="dxa"/>
          </w:tcPr>
          <w:p w14:paraId="50992A5C" w14:textId="77777777" w:rsidR="00FD019C" w:rsidRPr="004C5C4C" w:rsidRDefault="00FD019C" w:rsidP="000D3216">
            <w:pPr>
              <w:pStyle w:val="Teaser"/>
              <w:spacing w:line="480" w:lineRule="auto"/>
            </w:pPr>
            <w:r>
              <w:t>ADR-associated proteins (ARPs)</w:t>
            </w:r>
          </w:p>
        </w:tc>
        <w:tc>
          <w:tcPr>
            <w:tcW w:w="3117" w:type="dxa"/>
          </w:tcPr>
          <w:p w14:paraId="1EFAE364" w14:textId="77777777" w:rsidR="00FD019C" w:rsidRPr="004C5C4C" w:rsidRDefault="00FD019C" w:rsidP="000D3216">
            <w:pPr>
              <w:pStyle w:val="Teaser"/>
              <w:spacing w:line="480" w:lineRule="auto"/>
            </w:pPr>
            <w:r>
              <w:t>Proteins on a shortest path between drug target and ADR-gene (SPs)</w:t>
            </w:r>
          </w:p>
        </w:tc>
      </w:tr>
      <w:tr w:rsidR="00FD019C" w14:paraId="108FBF3F" w14:textId="77777777" w:rsidTr="00ED1C8C">
        <w:tc>
          <w:tcPr>
            <w:tcW w:w="3116" w:type="dxa"/>
          </w:tcPr>
          <w:p w14:paraId="7B31AE36" w14:textId="77777777" w:rsidR="00FD019C" w:rsidRPr="004C5C4C" w:rsidRDefault="00FD019C" w:rsidP="000D3216">
            <w:pPr>
              <w:pStyle w:val="Teaser"/>
              <w:spacing w:line="480" w:lineRule="auto"/>
            </w:pPr>
            <w:r>
              <w:t>Drug pairs documented in TWOSIDES / Total predicted drug pairs</w:t>
            </w:r>
          </w:p>
        </w:tc>
        <w:tc>
          <w:tcPr>
            <w:tcW w:w="3117" w:type="dxa"/>
          </w:tcPr>
          <w:p w14:paraId="3BF538D7" w14:textId="77777777" w:rsidR="00FD019C" w:rsidRPr="004C5C4C" w:rsidRDefault="00FD019C" w:rsidP="000D3216">
            <w:pPr>
              <w:pStyle w:val="Teaser"/>
              <w:spacing w:line="480" w:lineRule="auto"/>
            </w:pPr>
            <w:r>
              <w:t>405 / 5,246 (7.7%)</w:t>
            </w:r>
          </w:p>
        </w:tc>
        <w:tc>
          <w:tcPr>
            <w:tcW w:w="3117" w:type="dxa"/>
          </w:tcPr>
          <w:p w14:paraId="4992673F" w14:textId="77777777" w:rsidR="00FD019C" w:rsidRPr="004C5C4C" w:rsidRDefault="00FD019C" w:rsidP="000D3216">
            <w:pPr>
              <w:pStyle w:val="Teaser"/>
              <w:spacing w:line="480" w:lineRule="auto"/>
            </w:pPr>
            <w:r>
              <w:t>964/11,904 (8.1%)</w:t>
            </w:r>
          </w:p>
        </w:tc>
      </w:tr>
      <w:tr w:rsidR="00FD019C" w14:paraId="45D05969" w14:textId="77777777" w:rsidTr="00ED1C8C">
        <w:tc>
          <w:tcPr>
            <w:tcW w:w="3116" w:type="dxa"/>
          </w:tcPr>
          <w:p w14:paraId="75A881D1" w14:textId="77777777" w:rsidR="00FD019C" w:rsidRPr="004C5C4C" w:rsidRDefault="00FD019C" w:rsidP="000D3216">
            <w:pPr>
              <w:pStyle w:val="Teaser"/>
              <w:spacing w:line="480" w:lineRule="auto"/>
            </w:pPr>
            <w:r>
              <w:t>Drug-drug-ADR triplet in TWOSIDES / Predicted drug-drug-ADR triplets</w:t>
            </w:r>
          </w:p>
        </w:tc>
        <w:tc>
          <w:tcPr>
            <w:tcW w:w="3117" w:type="dxa"/>
          </w:tcPr>
          <w:p w14:paraId="5C891607" w14:textId="77777777" w:rsidR="00FD019C" w:rsidRPr="004C5C4C" w:rsidRDefault="00FD019C" w:rsidP="000D3216">
            <w:pPr>
              <w:pStyle w:val="Teaser"/>
              <w:spacing w:line="480" w:lineRule="auto"/>
            </w:pPr>
            <w:r>
              <w:t>368 / 456 (80.7%)</w:t>
            </w:r>
          </w:p>
        </w:tc>
        <w:tc>
          <w:tcPr>
            <w:tcW w:w="3117" w:type="dxa"/>
          </w:tcPr>
          <w:p w14:paraId="121EE1FD" w14:textId="77777777" w:rsidR="00FD019C" w:rsidRPr="004C5C4C" w:rsidRDefault="00FD019C" w:rsidP="000D3216">
            <w:pPr>
              <w:pStyle w:val="Teaser"/>
              <w:spacing w:line="480" w:lineRule="auto"/>
            </w:pPr>
            <w:r>
              <w:t>786 / 1,565 (50.2%)</w:t>
            </w:r>
          </w:p>
        </w:tc>
      </w:tr>
    </w:tbl>
    <w:p w14:paraId="6502FB51" w14:textId="77777777" w:rsidR="00FD019C" w:rsidRPr="004C5C4C" w:rsidRDefault="00FD019C" w:rsidP="000D3216">
      <w:pPr>
        <w:pStyle w:val="Teaser"/>
        <w:spacing w:line="480" w:lineRule="auto"/>
      </w:pPr>
      <w:r>
        <w:rPr>
          <w:b/>
          <w:bCs/>
        </w:rPr>
        <w:t>Table 1.</w:t>
      </w:r>
      <w:r>
        <w:t xml:space="preserve"> Sensitivity of DDI prediction using network classification.</w:t>
      </w:r>
    </w:p>
    <w:p w14:paraId="371C89AE" w14:textId="0519D236" w:rsidR="004A10BE" w:rsidRDefault="004A10BE" w:rsidP="000D3216">
      <w:pPr>
        <w:spacing w:line="480" w:lineRule="auto"/>
      </w:pPr>
    </w:p>
    <w:tbl>
      <w:tblPr>
        <w:tblW w:w="9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1377"/>
        <w:gridCol w:w="2038"/>
        <w:gridCol w:w="1917"/>
        <w:gridCol w:w="2673"/>
        <w:gridCol w:w="1817"/>
      </w:tblGrid>
      <w:tr w:rsidR="00FD019C" w:rsidRPr="0086765A" w14:paraId="36CDC3AA" w14:textId="77777777" w:rsidTr="00ED1C8C">
        <w:trPr>
          <w:trHeight w:val="430"/>
        </w:trPr>
        <w:tc>
          <w:tcPr>
            <w:tcW w:w="1377" w:type="dxa"/>
            <w:shd w:val="clear" w:color="auto" w:fill="auto"/>
            <w:tcMar>
              <w:top w:w="15" w:type="dxa"/>
              <w:left w:w="15" w:type="dxa"/>
              <w:bottom w:w="0" w:type="dxa"/>
              <w:right w:w="15" w:type="dxa"/>
            </w:tcMar>
            <w:vAlign w:val="center"/>
            <w:hideMark/>
          </w:tcPr>
          <w:p w14:paraId="459D3C13" w14:textId="77777777" w:rsidR="00FD019C" w:rsidRPr="0086765A" w:rsidRDefault="00FD019C" w:rsidP="000D3216">
            <w:pPr>
              <w:pStyle w:val="Legend"/>
              <w:adjustRightInd w:val="0"/>
              <w:spacing w:before="0" w:line="480" w:lineRule="auto"/>
              <w:jc w:val="center"/>
              <w:rPr>
                <w:sz w:val="22"/>
                <w:szCs w:val="22"/>
              </w:rPr>
            </w:pPr>
            <w:r>
              <w:rPr>
                <w:b/>
                <w:bCs/>
                <w:sz w:val="22"/>
                <w:szCs w:val="22"/>
              </w:rPr>
              <w:lastRenderedPageBreak/>
              <w:t>Combo drug</w:t>
            </w:r>
          </w:p>
        </w:tc>
        <w:tc>
          <w:tcPr>
            <w:tcW w:w="2038" w:type="dxa"/>
            <w:shd w:val="clear" w:color="auto" w:fill="auto"/>
            <w:tcMar>
              <w:top w:w="15" w:type="dxa"/>
              <w:left w:w="15" w:type="dxa"/>
              <w:bottom w:w="0" w:type="dxa"/>
              <w:right w:w="15" w:type="dxa"/>
            </w:tcMar>
            <w:vAlign w:val="center"/>
            <w:hideMark/>
          </w:tcPr>
          <w:p w14:paraId="3C1678D3" w14:textId="77777777" w:rsidR="00FD019C" w:rsidRPr="0086765A" w:rsidRDefault="00FD019C" w:rsidP="000D3216">
            <w:pPr>
              <w:pStyle w:val="Legend"/>
              <w:adjustRightInd w:val="0"/>
              <w:spacing w:before="0" w:line="480" w:lineRule="auto"/>
              <w:jc w:val="center"/>
              <w:rPr>
                <w:sz w:val="22"/>
                <w:szCs w:val="22"/>
              </w:rPr>
            </w:pPr>
            <w:r>
              <w:rPr>
                <w:b/>
                <w:bCs/>
                <w:sz w:val="22"/>
                <w:szCs w:val="22"/>
              </w:rPr>
              <w:t>DME-associated drug</w:t>
            </w:r>
          </w:p>
        </w:tc>
        <w:tc>
          <w:tcPr>
            <w:tcW w:w="1917" w:type="dxa"/>
            <w:shd w:val="clear" w:color="auto" w:fill="auto"/>
            <w:tcMar>
              <w:top w:w="15" w:type="dxa"/>
              <w:left w:w="15" w:type="dxa"/>
              <w:bottom w:w="0" w:type="dxa"/>
              <w:right w:w="15" w:type="dxa"/>
            </w:tcMar>
            <w:vAlign w:val="center"/>
            <w:hideMark/>
          </w:tcPr>
          <w:p w14:paraId="4525FAE9" w14:textId="77777777" w:rsidR="00FD019C" w:rsidRPr="0086765A" w:rsidRDefault="00FD019C" w:rsidP="000D3216">
            <w:pPr>
              <w:pStyle w:val="Legend"/>
              <w:adjustRightInd w:val="0"/>
              <w:spacing w:before="0" w:line="480" w:lineRule="auto"/>
              <w:jc w:val="center"/>
              <w:rPr>
                <w:sz w:val="22"/>
                <w:szCs w:val="22"/>
              </w:rPr>
            </w:pPr>
            <w:r w:rsidRPr="0086765A">
              <w:rPr>
                <w:b/>
                <w:bCs/>
                <w:sz w:val="22"/>
                <w:szCs w:val="22"/>
              </w:rPr>
              <w:t xml:space="preserve">Adverse event </w:t>
            </w:r>
            <w:r w:rsidRPr="0086765A">
              <w:rPr>
                <w:b/>
                <w:bCs/>
                <w:sz w:val="22"/>
                <w:szCs w:val="22"/>
              </w:rPr>
              <w:br/>
              <w:t>search term</w:t>
            </w:r>
          </w:p>
        </w:tc>
        <w:tc>
          <w:tcPr>
            <w:tcW w:w="2673" w:type="dxa"/>
            <w:shd w:val="clear" w:color="auto" w:fill="auto"/>
            <w:tcMar>
              <w:top w:w="15" w:type="dxa"/>
              <w:left w:w="15" w:type="dxa"/>
              <w:bottom w:w="0" w:type="dxa"/>
              <w:right w:w="15" w:type="dxa"/>
            </w:tcMar>
            <w:vAlign w:val="center"/>
            <w:hideMark/>
          </w:tcPr>
          <w:p w14:paraId="5D17A8B1" w14:textId="77777777" w:rsidR="00FD019C" w:rsidRPr="0086765A" w:rsidRDefault="00FD019C" w:rsidP="000D3216">
            <w:pPr>
              <w:pStyle w:val="Legend"/>
              <w:adjustRightInd w:val="0"/>
              <w:spacing w:before="0" w:line="480" w:lineRule="auto"/>
              <w:jc w:val="center"/>
              <w:rPr>
                <w:sz w:val="22"/>
                <w:szCs w:val="22"/>
              </w:rPr>
            </w:pPr>
            <w:r w:rsidRPr="0086765A">
              <w:rPr>
                <w:b/>
                <w:bCs/>
                <w:sz w:val="22"/>
                <w:szCs w:val="22"/>
              </w:rPr>
              <w:t xml:space="preserve">TWOSIDES </w:t>
            </w:r>
            <w:r w:rsidRPr="0086765A">
              <w:rPr>
                <w:b/>
                <w:bCs/>
                <w:sz w:val="22"/>
                <w:szCs w:val="22"/>
              </w:rPr>
              <w:br/>
              <w:t>condition name</w:t>
            </w:r>
          </w:p>
        </w:tc>
        <w:tc>
          <w:tcPr>
            <w:tcW w:w="1817" w:type="dxa"/>
            <w:shd w:val="clear" w:color="auto" w:fill="auto"/>
            <w:tcMar>
              <w:top w:w="15" w:type="dxa"/>
              <w:left w:w="15" w:type="dxa"/>
              <w:bottom w:w="0" w:type="dxa"/>
              <w:right w:w="15" w:type="dxa"/>
            </w:tcMar>
            <w:vAlign w:val="center"/>
            <w:hideMark/>
          </w:tcPr>
          <w:p w14:paraId="6FAF654A" w14:textId="77777777" w:rsidR="00FD019C" w:rsidRPr="0086765A" w:rsidRDefault="00FD019C" w:rsidP="000D3216">
            <w:pPr>
              <w:pStyle w:val="Legend"/>
              <w:adjustRightInd w:val="0"/>
              <w:spacing w:before="0" w:line="480" w:lineRule="auto"/>
              <w:jc w:val="center"/>
              <w:rPr>
                <w:sz w:val="22"/>
                <w:szCs w:val="22"/>
              </w:rPr>
            </w:pPr>
            <w:r w:rsidRPr="0086765A">
              <w:rPr>
                <w:b/>
                <w:bCs/>
                <w:sz w:val="22"/>
                <w:szCs w:val="22"/>
              </w:rPr>
              <w:t>PRR</w:t>
            </w:r>
          </w:p>
        </w:tc>
      </w:tr>
      <w:tr w:rsidR="00FD019C" w:rsidRPr="0086765A" w14:paraId="56232948" w14:textId="77777777" w:rsidTr="00ED1C8C">
        <w:trPr>
          <w:trHeight w:val="430"/>
        </w:trPr>
        <w:tc>
          <w:tcPr>
            <w:tcW w:w="1377" w:type="dxa"/>
            <w:vMerge w:val="restart"/>
            <w:shd w:val="clear" w:color="auto" w:fill="auto"/>
            <w:tcMar>
              <w:top w:w="15" w:type="dxa"/>
              <w:left w:w="15" w:type="dxa"/>
              <w:bottom w:w="0" w:type="dxa"/>
              <w:right w:w="15" w:type="dxa"/>
            </w:tcMar>
            <w:vAlign w:val="center"/>
            <w:hideMark/>
          </w:tcPr>
          <w:p w14:paraId="0ED82D4C"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aspirin</w:t>
            </w:r>
          </w:p>
        </w:tc>
        <w:tc>
          <w:tcPr>
            <w:tcW w:w="2038" w:type="dxa"/>
            <w:vMerge w:val="restart"/>
            <w:shd w:val="clear" w:color="auto" w:fill="auto"/>
            <w:tcMar>
              <w:top w:w="15" w:type="dxa"/>
              <w:left w:w="15" w:type="dxa"/>
              <w:bottom w:w="0" w:type="dxa"/>
              <w:right w:w="15" w:type="dxa"/>
            </w:tcMar>
            <w:vAlign w:val="center"/>
            <w:hideMark/>
          </w:tcPr>
          <w:p w14:paraId="164E7C9A"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aripiprazole</w:t>
            </w:r>
          </w:p>
        </w:tc>
        <w:tc>
          <w:tcPr>
            <w:tcW w:w="1917" w:type="dxa"/>
            <w:vMerge w:val="restart"/>
            <w:shd w:val="clear" w:color="auto" w:fill="auto"/>
            <w:tcMar>
              <w:top w:w="15" w:type="dxa"/>
              <w:left w:w="15" w:type="dxa"/>
              <w:bottom w:w="0" w:type="dxa"/>
              <w:right w:w="15" w:type="dxa"/>
            </w:tcMar>
            <w:vAlign w:val="center"/>
            <w:hideMark/>
          </w:tcPr>
          <w:p w14:paraId="5C0ED811"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pancreatitis</w:t>
            </w:r>
          </w:p>
        </w:tc>
        <w:tc>
          <w:tcPr>
            <w:tcW w:w="2673" w:type="dxa"/>
            <w:shd w:val="clear" w:color="auto" w:fill="auto"/>
            <w:tcMar>
              <w:top w:w="15" w:type="dxa"/>
              <w:left w:w="15" w:type="dxa"/>
              <w:bottom w:w="0" w:type="dxa"/>
              <w:right w:w="15" w:type="dxa"/>
            </w:tcMar>
            <w:vAlign w:val="center"/>
            <w:hideMark/>
          </w:tcPr>
          <w:p w14:paraId="4083DFE3"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pancreatitis chronic</w:t>
            </w:r>
          </w:p>
        </w:tc>
        <w:tc>
          <w:tcPr>
            <w:tcW w:w="1817" w:type="dxa"/>
            <w:shd w:val="clear" w:color="auto" w:fill="auto"/>
            <w:tcMar>
              <w:top w:w="15" w:type="dxa"/>
              <w:left w:w="15" w:type="dxa"/>
              <w:bottom w:w="0" w:type="dxa"/>
              <w:right w:w="15" w:type="dxa"/>
            </w:tcMar>
            <w:vAlign w:val="center"/>
            <w:hideMark/>
          </w:tcPr>
          <w:p w14:paraId="1E30EDE5"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20</w:t>
            </w:r>
          </w:p>
        </w:tc>
      </w:tr>
      <w:tr w:rsidR="00FD019C" w:rsidRPr="0086765A" w14:paraId="50C8F5A0" w14:textId="77777777" w:rsidTr="00ED1C8C">
        <w:trPr>
          <w:trHeight w:val="430"/>
        </w:trPr>
        <w:tc>
          <w:tcPr>
            <w:tcW w:w="1377" w:type="dxa"/>
            <w:vMerge/>
            <w:shd w:val="clear" w:color="auto" w:fill="auto"/>
            <w:vAlign w:val="center"/>
            <w:hideMark/>
          </w:tcPr>
          <w:p w14:paraId="1DF386C0" w14:textId="77777777" w:rsidR="00FD019C" w:rsidRPr="0086765A" w:rsidRDefault="00FD019C" w:rsidP="000D3216">
            <w:pPr>
              <w:pStyle w:val="Legend"/>
              <w:adjustRightInd w:val="0"/>
              <w:spacing w:before="0" w:line="480" w:lineRule="auto"/>
              <w:jc w:val="center"/>
              <w:rPr>
                <w:sz w:val="22"/>
                <w:szCs w:val="22"/>
              </w:rPr>
            </w:pPr>
          </w:p>
        </w:tc>
        <w:tc>
          <w:tcPr>
            <w:tcW w:w="2038" w:type="dxa"/>
            <w:vMerge/>
            <w:shd w:val="clear" w:color="auto" w:fill="auto"/>
            <w:vAlign w:val="center"/>
            <w:hideMark/>
          </w:tcPr>
          <w:p w14:paraId="22853431" w14:textId="77777777" w:rsidR="00FD019C" w:rsidRPr="0086765A" w:rsidRDefault="00FD019C" w:rsidP="000D3216">
            <w:pPr>
              <w:pStyle w:val="Legend"/>
              <w:adjustRightInd w:val="0"/>
              <w:spacing w:before="0" w:line="480" w:lineRule="auto"/>
              <w:jc w:val="center"/>
              <w:rPr>
                <w:sz w:val="22"/>
                <w:szCs w:val="22"/>
              </w:rPr>
            </w:pPr>
          </w:p>
        </w:tc>
        <w:tc>
          <w:tcPr>
            <w:tcW w:w="1917" w:type="dxa"/>
            <w:vMerge/>
            <w:shd w:val="clear" w:color="auto" w:fill="auto"/>
            <w:vAlign w:val="center"/>
            <w:hideMark/>
          </w:tcPr>
          <w:p w14:paraId="6B2FF75E" w14:textId="77777777" w:rsidR="00FD019C" w:rsidRPr="0086765A" w:rsidRDefault="00FD019C" w:rsidP="000D3216">
            <w:pPr>
              <w:pStyle w:val="Legend"/>
              <w:adjustRightInd w:val="0"/>
              <w:spacing w:before="0" w:line="480" w:lineRule="auto"/>
              <w:jc w:val="center"/>
              <w:rPr>
                <w:sz w:val="22"/>
                <w:szCs w:val="22"/>
              </w:rPr>
            </w:pPr>
          </w:p>
        </w:tc>
        <w:tc>
          <w:tcPr>
            <w:tcW w:w="2673" w:type="dxa"/>
            <w:shd w:val="clear" w:color="auto" w:fill="auto"/>
            <w:tcMar>
              <w:top w:w="15" w:type="dxa"/>
              <w:left w:w="15" w:type="dxa"/>
              <w:bottom w:w="0" w:type="dxa"/>
              <w:right w:w="15" w:type="dxa"/>
            </w:tcMar>
            <w:vAlign w:val="center"/>
            <w:hideMark/>
          </w:tcPr>
          <w:p w14:paraId="2A31BA80"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pancreatitis relapsing</w:t>
            </w:r>
          </w:p>
        </w:tc>
        <w:tc>
          <w:tcPr>
            <w:tcW w:w="1817" w:type="dxa"/>
            <w:shd w:val="clear" w:color="auto" w:fill="auto"/>
            <w:tcMar>
              <w:top w:w="15" w:type="dxa"/>
              <w:left w:w="15" w:type="dxa"/>
              <w:bottom w:w="0" w:type="dxa"/>
              <w:right w:w="15" w:type="dxa"/>
            </w:tcMar>
            <w:vAlign w:val="center"/>
            <w:hideMark/>
          </w:tcPr>
          <w:p w14:paraId="50CC82F6"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20</w:t>
            </w:r>
          </w:p>
        </w:tc>
      </w:tr>
      <w:tr w:rsidR="00FD019C" w:rsidRPr="0086765A" w14:paraId="3DC4AF47" w14:textId="77777777" w:rsidTr="00ED1C8C">
        <w:trPr>
          <w:trHeight w:val="430"/>
        </w:trPr>
        <w:tc>
          <w:tcPr>
            <w:tcW w:w="1377" w:type="dxa"/>
            <w:vMerge/>
            <w:shd w:val="clear" w:color="auto" w:fill="auto"/>
            <w:vAlign w:val="center"/>
            <w:hideMark/>
          </w:tcPr>
          <w:p w14:paraId="4883E84C" w14:textId="77777777" w:rsidR="00FD019C" w:rsidRPr="0086765A" w:rsidRDefault="00FD019C" w:rsidP="000D3216">
            <w:pPr>
              <w:pStyle w:val="Legend"/>
              <w:adjustRightInd w:val="0"/>
              <w:spacing w:before="0" w:line="480" w:lineRule="auto"/>
              <w:jc w:val="center"/>
              <w:rPr>
                <w:sz w:val="22"/>
                <w:szCs w:val="22"/>
              </w:rPr>
            </w:pPr>
          </w:p>
        </w:tc>
        <w:tc>
          <w:tcPr>
            <w:tcW w:w="2038" w:type="dxa"/>
            <w:vMerge/>
            <w:shd w:val="clear" w:color="auto" w:fill="auto"/>
            <w:vAlign w:val="center"/>
            <w:hideMark/>
          </w:tcPr>
          <w:p w14:paraId="0773780A" w14:textId="77777777" w:rsidR="00FD019C" w:rsidRPr="0086765A" w:rsidRDefault="00FD019C" w:rsidP="000D3216">
            <w:pPr>
              <w:pStyle w:val="Legend"/>
              <w:adjustRightInd w:val="0"/>
              <w:spacing w:before="0" w:line="480" w:lineRule="auto"/>
              <w:jc w:val="center"/>
              <w:rPr>
                <w:sz w:val="22"/>
                <w:szCs w:val="22"/>
              </w:rPr>
            </w:pPr>
          </w:p>
        </w:tc>
        <w:tc>
          <w:tcPr>
            <w:tcW w:w="1917" w:type="dxa"/>
            <w:vMerge/>
            <w:shd w:val="clear" w:color="auto" w:fill="auto"/>
            <w:vAlign w:val="center"/>
            <w:hideMark/>
          </w:tcPr>
          <w:p w14:paraId="73D0D598" w14:textId="77777777" w:rsidR="00FD019C" w:rsidRPr="0086765A" w:rsidRDefault="00FD019C" w:rsidP="000D3216">
            <w:pPr>
              <w:pStyle w:val="Legend"/>
              <w:adjustRightInd w:val="0"/>
              <w:spacing w:before="0" w:line="480" w:lineRule="auto"/>
              <w:jc w:val="center"/>
              <w:rPr>
                <w:sz w:val="22"/>
                <w:szCs w:val="22"/>
              </w:rPr>
            </w:pPr>
          </w:p>
        </w:tc>
        <w:tc>
          <w:tcPr>
            <w:tcW w:w="2673" w:type="dxa"/>
            <w:shd w:val="clear" w:color="auto" w:fill="auto"/>
            <w:tcMar>
              <w:top w:w="15" w:type="dxa"/>
              <w:left w:w="15" w:type="dxa"/>
              <w:bottom w:w="0" w:type="dxa"/>
              <w:right w:w="15" w:type="dxa"/>
            </w:tcMar>
            <w:vAlign w:val="center"/>
            <w:hideMark/>
          </w:tcPr>
          <w:p w14:paraId="2D9F30BD"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pancreatitis acute</w:t>
            </w:r>
          </w:p>
        </w:tc>
        <w:tc>
          <w:tcPr>
            <w:tcW w:w="1817" w:type="dxa"/>
            <w:shd w:val="clear" w:color="auto" w:fill="auto"/>
            <w:tcMar>
              <w:top w:w="15" w:type="dxa"/>
              <w:left w:w="15" w:type="dxa"/>
              <w:bottom w:w="0" w:type="dxa"/>
              <w:right w:w="15" w:type="dxa"/>
            </w:tcMar>
            <w:vAlign w:val="center"/>
            <w:hideMark/>
          </w:tcPr>
          <w:p w14:paraId="4F1D9AB3"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12.1053</w:t>
            </w:r>
          </w:p>
        </w:tc>
      </w:tr>
      <w:tr w:rsidR="00FD019C" w:rsidRPr="0086765A" w14:paraId="31314DD4" w14:textId="77777777" w:rsidTr="00ED1C8C">
        <w:trPr>
          <w:trHeight w:val="430"/>
        </w:trPr>
        <w:tc>
          <w:tcPr>
            <w:tcW w:w="1377" w:type="dxa"/>
            <w:vMerge/>
            <w:shd w:val="clear" w:color="auto" w:fill="auto"/>
            <w:vAlign w:val="center"/>
            <w:hideMark/>
          </w:tcPr>
          <w:p w14:paraId="3D850000" w14:textId="77777777" w:rsidR="00FD019C" w:rsidRPr="0086765A" w:rsidRDefault="00FD019C" w:rsidP="000D3216">
            <w:pPr>
              <w:pStyle w:val="Legend"/>
              <w:adjustRightInd w:val="0"/>
              <w:spacing w:before="0" w:line="480" w:lineRule="auto"/>
              <w:jc w:val="center"/>
              <w:rPr>
                <w:sz w:val="22"/>
                <w:szCs w:val="22"/>
              </w:rPr>
            </w:pPr>
          </w:p>
        </w:tc>
        <w:tc>
          <w:tcPr>
            <w:tcW w:w="2038" w:type="dxa"/>
            <w:vMerge/>
            <w:shd w:val="clear" w:color="auto" w:fill="auto"/>
            <w:vAlign w:val="center"/>
            <w:hideMark/>
          </w:tcPr>
          <w:p w14:paraId="325DC53C" w14:textId="77777777" w:rsidR="00FD019C" w:rsidRPr="0086765A" w:rsidRDefault="00FD019C" w:rsidP="000D3216">
            <w:pPr>
              <w:pStyle w:val="Legend"/>
              <w:adjustRightInd w:val="0"/>
              <w:spacing w:before="0" w:line="480" w:lineRule="auto"/>
              <w:jc w:val="center"/>
              <w:rPr>
                <w:sz w:val="22"/>
                <w:szCs w:val="22"/>
              </w:rPr>
            </w:pPr>
          </w:p>
        </w:tc>
        <w:tc>
          <w:tcPr>
            <w:tcW w:w="1917" w:type="dxa"/>
            <w:vMerge/>
            <w:shd w:val="clear" w:color="auto" w:fill="auto"/>
            <w:vAlign w:val="center"/>
            <w:hideMark/>
          </w:tcPr>
          <w:p w14:paraId="52646257" w14:textId="77777777" w:rsidR="00FD019C" w:rsidRPr="0086765A" w:rsidRDefault="00FD019C" w:rsidP="000D3216">
            <w:pPr>
              <w:pStyle w:val="Legend"/>
              <w:adjustRightInd w:val="0"/>
              <w:spacing w:before="0" w:line="480" w:lineRule="auto"/>
              <w:jc w:val="center"/>
              <w:rPr>
                <w:sz w:val="22"/>
                <w:szCs w:val="22"/>
              </w:rPr>
            </w:pPr>
          </w:p>
        </w:tc>
        <w:tc>
          <w:tcPr>
            <w:tcW w:w="2673" w:type="dxa"/>
            <w:shd w:val="clear" w:color="auto" w:fill="auto"/>
            <w:tcMar>
              <w:top w:w="15" w:type="dxa"/>
              <w:left w:w="15" w:type="dxa"/>
              <w:bottom w:w="0" w:type="dxa"/>
              <w:right w:w="15" w:type="dxa"/>
            </w:tcMar>
            <w:vAlign w:val="center"/>
            <w:hideMark/>
          </w:tcPr>
          <w:p w14:paraId="701D91BF"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pancreatitis</w:t>
            </w:r>
          </w:p>
        </w:tc>
        <w:tc>
          <w:tcPr>
            <w:tcW w:w="1817" w:type="dxa"/>
            <w:shd w:val="clear" w:color="auto" w:fill="auto"/>
            <w:tcMar>
              <w:top w:w="15" w:type="dxa"/>
              <w:left w:w="15" w:type="dxa"/>
              <w:bottom w:w="0" w:type="dxa"/>
              <w:right w:w="15" w:type="dxa"/>
            </w:tcMar>
            <w:vAlign w:val="center"/>
            <w:hideMark/>
          </w:tcPr>
          <w:p w14:paraId="396D4D0A"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7.56757</w:t>
            </w:r>
          </w:p>
        </w:tc>
      </w:tr>
      <w:tr w:rsidR="00FD019C" w:rsidRPr="0086765A" w14:paraId="027CDC7D" w14:textId="77777777" w:rsidTr="00ED1C8C">
        <w:trPr>
          <w:trHeight w:val="430"/>
        </w:trPr>
        <w:tc>
          <w:tcPr>
            <w:tcW w:w="1377" w:type="dxa"/>
            <w:vMerge/>
            <w:shd w:val="clear" w:color="auto" w:fill="auto"/>
            <w:vAlign w:val="center"/>
            <w:hideMark/>
          </w:tcPr>
          <w:p w14:paraId="4B8385A6" w14:textId="77777777" w:rsidR="00FD019C" w:rsidRPr="0086765A" w:rsidRDefault="00FD019C" w:rsidP="000D3216">
            <w:pPr>
              <w:pStyle w:val="Legend"/>
              <w:adjustRightInd w:val="0"/>
              <w:spacing w:before="0" w:line="480" w:lineRule="auto"/>
              <w:jc w:val="center"/>
              <w:rPr>
                <w:sz w:val="22"/>
                <w:szCs w:val="22"/>
              </w:rPr>
            </w:pPr>
          </w:p>
        </w:tc>
        <w:tc>
          <w:tcPr>
            <w:tcW w:w="2038" w:type="dxa"/>
            <w:shd w:val="clear" w:color="auto" w:fill="auto"/>
            <w:tcMar>
              <w:top w:w="15" w:type="dxa"/>
              <w:left w:w="15" w:type="dxa"/>
              <w:bottom w:w="0" w:type="dxa"/>
              <w:right w:w="15" w:type="dxa"/>
            </w:tcMar>
            <w:vAlign w:val="center"/>
            <w:hideMark/>
          </w:tcPr>
          <w:p w14:paraId="0FAAFDA9"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atropine</w:t>
            </w:r>
          </w:p>
        </w:tc>
        <w:tc>
          <w:tcPr>
            <w:tcW w:w="1917" w:type="dxa"/>
            <w:vMerge/>
            <w:shd w:val="clear" w:color="auto" w:fill="auto"/>
            <w:vAlign w:val="center"/>
            <w:hideMark/>
          </w:tcPr>
          <w:p w14:paraId="2DD1F365" w14:textId="77777777" w:rsidR="00FD019C" w:rsidRPr="0086765A" w:rsidRDefault="00FD019C" w:rsidP="000D3216">
            <w:pPr>
              <w:pStyle w:val="Legend"/>
              <w:adjustRightInd w:val="0"/>
              <w:spacing w:before="0" w:line="480" w:lineRule="auto"/>
              <w:jc w:val="center"/>
              <w:rPr>
                <w:sz w:val="22"/>
                <w:szCs w:val="22"/>
              </w:rPr>
            </w:pPr>
          </w:p>
        </w:tc>
        <w:tc>
          <w:tcPr>
            <w:tcW w:w="2673" w:type="dxa"/>
            <w:shd w:val="clear" w:color="auto" w:fill="auto"/>
            <w:tcMar>
              <w:top w:w="15" w:type="dxa"/>
              <w:left w:w="15" w:type="dxa"/>
              <w:bottom w:w="0" w:type="dxa"/>
              <w:right w:w="15" w:type="dxa"/>
            </w:tcMar>
            <w:vAlign w:val="center"/>
            <w:hideMark/>
          </w:tcPr>
          <w:p w14:paraId="6A73299A"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pancreatitis</w:t>
            </w:r>
          </w:p>
        </w:tc>
        <w:tc>
          <w:tcPr>
            <w:tcW w:w="1817" w:type="dxa"/>
            <w:shd w:val="clear" w:color="auto" w:fill="auto"/>
            <w:tcMar>
              <w:top w:w="15" w:type="dxa"/>
              <w:left w:w="15" w:type="dxa"/>
              <w:bottom w:w="0" w:type="dxa"/>
              <w:right w:w="15" w:type="dxa"/>
            </w:tcMar>
            <w:vAlign w:val="center"/>
            <w:hideMark/>
          </w:tcPr>
          <w:p w14:paraId="5F0FF6D3"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5</w:t>
            </w:r>
          </w:p>
        </w:tc>
      </w:tr>
      <w:tr w:rsidR="00FD019C" w:rsidRPr="0086765A" w14:paraId="20FCA36D" w14:textId="77777777" w:rsidTr="00ED1C8C">
        <w:trPr>
          <w:trHeight w:val="430"/>
        </w:trPr>
        <w:tc>
          <w:tcPr>
            <w:tcW w:w="1377" w:type="dxa"/>
            <w:vMerge/>
            <w:shd w:val="clear" w:color="auto" w:fill="auto"/>
            <w:vAlign w:val="center"/>
            <w:hideMark/>
          </w:tcPr>
          <w:p w14:paraId="0B23671A" w14:textId="77777777" w:rsidR="00FD019C" w:rsidRPr="0086765A" w:rsidRDefault="00FD019C" w:rsidP="000D3216">
            <w:pPr>
              <w:pStyle w:val="Legend"/>
              <w:adjustRightInd w:val="0"/>
              <w:spacing w:before="0" w:line="480" w:lineRule="auto"/>
              <w:jc w:val="center"/>
              <w:rPr>
                <w:sz w:val="22"/>
                <w:szCs w:val="22"/>
              </w:rPr>
            </w:pPr>
          </w:p>
        </w:tc>
        <w:tc>
          <w:tcPr>
            <w:tcW w:w="2038" w:type="dxa"/>
            <w:vMerge w:val="restart"/>
            <w:shd w:val="clear" w:color="auto" w:fill="auto"/>
            <w:tcMar>
              <w:top w:w="15" w:type="dxa"/>
              <w:left w:w="15" w:type="dxa"/>
              <w:bottom w:w="0" w:type="dxa"/>
              <w:right w:w="15" w:type="dxa"/>
            </w:tcMar>
            <w:vAlign w:val="center"/>
            <w:hideMark/>
          </w:tcPr>
          <w:p w14:paraId="6837130F"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pramipexole</w:t>
            </w:r>
          </w:p>
        </w:tc>
        <w:tc>
          <w:tcPr>
            <w:tcW w:w="1917" w:type="dxa"/>
            <w:vMerge/>
            <w:shd w:val="clear" w:color="auto" w:fill="auto"/>
            <w:vAlign w:val="center"/>
            <w:hideMark/>
          </w:tcPr>
          <w:p w14:paraId="23E30347" w14:textId="77777777" w:rsidR="00FD019C" w:rsidRPr="0086765A" w:rsidRDefault="00FD019C" w:rsidP="000D3216">
            <w:pPr>
              <w:pStyle w:val="Legend"/>
              <w:adjustRightInd w:val="0"/>
              <w:spacing w:before="0" w:line="480" w:lineRule="auto"/>
              <w:jc w:val="center"/>
              <w:rPr>
                <w:sz w:val="22"/>
                <w:szCs w:val="22"/>
              </w:rPr>
            </w:pPr>
          </w:p>
        </w:tc>
        <w:tc>
          <w:tcPr>
            <w:tcW w:w="2673" w:type="dxa"/>
            <w:shd w:val="clear" w:color="auto" w:fill="auto"/>
            <w:tcMar>
              <w:top w:w="15" w:type="dxa"/>
              <w:left w:w="15" w:type="dxa"/>
              <w:bottom w:w="0" w:type="dxa"/>
              <w:right w:w="15" w:type="dxa"/>
            </w:tcMar>
            <w:vAlign w:val="center"/>
            <w:hideMark/>
          </w:tcPr>
          <w:p w14:paraId="5701875E"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pancreatitis</w:t>
            </w:r>
          </w:p>
        </w:tc>
        <w:tc>
          <w:tcPr>
            <w:tcW w:w="1817" w:type="dxa"/>
            <w:shd w:val="clear" w:color="auto" w:fill="auto"/>
            <w:tcMar>
              <w:top w:w="15" w:type="dxa"/>
              <w:left w:w="15" w:type="dxa"/>
              <w:bottom w:w="0" w:type="dxa"/>
              <w:right w:w="15" w:type="dxa"/>
            </w:tcMar>
            <w:vAlign w:val="center"/>
            <w:hideMark/>
          </w:tcPr>
          <w:p w14:paraId="70B31369"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1.5</w:t>
            </w:r>
          </w:p>
        </w:tc>
      </w:tr>
      <w:tr w:rsidR="00FD019C" w:rsidRPr="0086765A" w14:paraId="6D890C17" w14:textId="77777777" w:rsidTr="00ED1C8C">
        <w:trPr>
          <w:trHeight w:val="430"/>
        </w:trPr>
        <w:tc>
          <w:tcPr>
            <w:tcW w:w="1377" w:type="dxa"/>
            <w:vMerge/>
            <w:shd w:val="clear" w:color="auto" w:fill="auto"/>
            <w:vAlign w:val="center"/>
            <w:hideMark/>
          </w:tcPr>
          <w:p w14:paraId="17163EE1" w14:textId="77777777" w:rsidR="00FD019C" w:rsidRPr="0086765A" w:rsidRDefault="00FD019C" w:rsidP="000D3216">
            <w:pPr>
              <w:pStyle w:val="Legend"/>
              <w:adjustRightInd w:val="0"/>
              <w:spacing w:before="0" w:line="480" w:lineRule="auto"/>
              <w:jc w:val="center"/>
              <w:rPr>
                <w:sz w:val="22"/>
                <w:szCs w:val="22"/>
              </w:rPr>
            </w:pPr>
          </w:p>
        </w:tc>
        <w:tc>
          <w:tcPr>
            <w:tcW w:w="2038" w:type="dxa"/>
            <w:vMerge/>
            <w:shd w:val="clear" w:color="auto" w:fill="auto"/>
            <w:vAlign w:val="center"/>
            <w:hideMark/>
          </w:tcPr>
          <w:p w14:paraId="4B76ECA5" w14:textId="77777777" w:rsidR="00FD019C" w:rsidRPr="0086765A" w:rsidRDefault="00FD019C" w:rsidP="000D3216">
            <w:pPr>
              <w:pStyle w:val="Legend"/>
              <w:adjustRightInd w:val="0"/>
              <w:spacing w:before="0" w:line="480" w:lineRule="auto"/>
              <w:jc w:val="center"/>
              <w:rPr>
                <w:sz w:val="22"/>
                <w:szCs w:val="22"/>
              </w:rPr>
            </w:pPr>
          </w:p>
        </w:tc>
        <w:tc>
          <w:tcPr>
            <w:tcW w:w="1917" w:type="dxa"/>
            <w:vMerge/>
            <w:shd w:val="clear" w:color="auto" w:fill="auto"/>
            <w:vAlign w:val="center"/>
            <w:hideMark/>
          </w:tcPr>
          <w:p w14:paraId="2C61448B" w14:textId="77777777" w:rsidR="00FD019C" w:rsidRPr="0086765A" w:rsidRDefault="00FD019C" w:rsidP="000D3216">
            <w:pPr>
              <w:pStyle w:val="Legend"/>
              <w:adjustRightInd w:val="0"/>
              <w:spacing w:before="0" w:line="480" w:lineRule="auto"/>
              <w:jc w:val="center"/>
              <w:rPr>
                <w:sz w:val="22"/>
                <w:szCs w:val="22"/>
              </w:rPr>
            </w:pPr>
          </w:p>
        </w:tc>
        <w:tc>
          <w:tcPr>
            <w:tcW w:w="2673" w:type="dxa"/>
            <w:shd w:val="clear" w:color="auto" w:fill="auto"/>
            <w:tcMar>
              <w:top w:w="15" w:type="dxa"/>
              <w:left w:w="15" w:type="dxa"/>
              <w:bottom w:w="0" w:type="dxa"/>
              <w:right w:w="15" w:type="dxa"/>
            </w:tcMar>
            <w:vAlign w:val="center"/>
            <w:hideMark/>
          </w:tcPr>
          <w:p w14:paraId="2A8F50BB"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pancreatitis acute</w:t>
            </w:r>
          </w:p>
        </w:tc>
        <w:tc>
          <w:tcPr>
            <w:tcW w:w="1817" w:type="dxa"/>
            <w:shd w:val="clear" w:color="auto" w:fill="auto"/>
            <w:tcMar>
              <w:top w:w="15" w:type="dxa"/>
              <w:left w:w="15" w:type="dxa"/>
              <w:bottom w:w="0" w:type="dxa"/>
              <w:right w:w="15" w:type="dxa"/>
            </w:tcMar>
            <w:vAlign w:val="center"/>
            <w:hideMark/>
          </w:tcPr>
          <w:p w14:paraId="5718CD4E"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0.5</w:t>
            </w:r>
          </w:p>
        </w:tc>
      </w:tr>
      <w:tr w:rsidR="00FD019C" w:rsidRPr="0086765A" w14:paraId="727B39D9" w14:textId="77777777" w:rsidTr="00ED1C8C">
        <w:trPr>
          <w:trHeight w:val="430"/>
        </w:trPr>
        <w:tc>
          <w:tcPr>
            <w:tcW w:w="1377" w:type="dxa"/>
            <w:vMerge/>
            <w:shd w:val="clear" w:color="auto" w:fill="auto"/>
            <w:vAlign w:val="center"/>
            <w:hideMark/>
          </w:tcPr>
          <w:p w14:paraId="3DA1B7A1" w14:textId="77777777" w:rsidR="00FD019C" w:rsidRPr="0086765A" w:rsidRDefault="00FD019C" w:rsidP="000D3216">
            <w:pPr>
              <w:pStyle w:val="Legend"/>
              <w:adjustRightInd w:val="0"/>
              <w:spacing w:before="0" w:line="480" w:lineRule="auto"/>
              <w:jc w:val="center"/>
              <w:rPr>
                <w:sz w:val="22"/>
                <w:szCs w:val="22"/>
              </w:rPr>
            </w:pPr>
          </w:p>
        </w:tc>
        <w:tc>
          <w:tcPr>
            <w:tcW w:w="2038" w:type="dxa"/>
            <w:vMerge w:val="restart"/>
            <w:shd w:val="clear" w:color="auto" w:fill="auto"/>
            <w:tcMar>
              <w:top w:w="15" w:type="dxa"/>
              <w:left w:w="15" w:type="dxa"/>
              <w:bottom w:w="0" w:type="dxa"/>
              <w:right w:w="15" w:type="dxa"/>
            </w:tcMar>
            <w:vAlign w:val="center"/>
            <w:hideMark/>
          </w:tcPr>
          <w:p w14:paraId="000E7D46"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ropinirole</w:t>
            </w:r>
          </w:p>
        </w:tc>
        <w:tc>
          <w:tcPr>
            <w:tcW w:w="1917" w:type="dxa"/>
            <w:vMerge/>
            <w:shd w:val="clear" w:color="auto" w:fill="auto"/>
            <w:vAlign w:val="center"/>
            <w:hideMark/>
          </w:tcPr>
          <w:p w14:paraId="46E89B7B" w14:textId="77777777" w:rsidR="00FD019C" w:rsidRPr="0086765A" w:rsidRDefault="00FD019C" w:rsidP="000D3216">
            <w:pPr>
              <w:pStyle w:val="Legend"/>
              <w:adjustRightInd w:val="0"/>
              <w:spacing w:before="0" w:line="480" w:lineRule="auto"/>
              <w:jc w:val="center"/>
              <w:rPr>
                <w:sz w:val="22"/>
                <w:szCs w:val="22"/>
              </w:rPr>
            </w:pPr>
          </w:p>
        </w:tc>
        <w:tc>
          <w:tcPr>
            <w:tcW w:w="2673" w:type="dxa"/>
            <w:shd w:val="clear" w:color="auto" w:fill="auto"/>
            <w:tcMar>
              <w:top w:w="15" w:type="dxa"/>
              <w:left w:w="15" w:type="dxa"/>
              <w:bottom w:w="0" w:type="dxa"/>
              <w:right w:w="15" w:type="dxa"/>
            </w:tcMar>
            <w:vAlign w:val="center"/>
            <w:hideMark/>
          </w:tcPr>
          <w:p w14:paraId="64A1883D"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pancreatitis chronic</w:t>
            </w:r>
          </w:p>
        </w:tc>
        <w:tc>
          <w:tcPr>
            <w:tcW w:w="1817" w:type="dxa"/>
            <w:shd w:val="clear" w:color="auto" w:fill="auto"/>
            <w:tcMar>
              <w:top w:w="15" w:type="dxa"/>
              <w:left w:w="15" w:type="dxa"/>
              <w:bottom w:w="0" w:type="dxa"/>
              <w:right w:w="15" w:type="dxa"/>
            </w:tcMar>
            <w:vAlign w:val="center"/>
            <w:hideMark/>
          </w:tcPr>
          <w:p w14:paraId="23F4695F"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2.5</w:t>
            </w:r>
          </w:p>
        </w:tc>
      </w:tr>
      <w:tr w:rsidR="00FD019C" w:rsidRPr="0086765A" w14:paraId="7AC5EFE2" w14:textId="77777777" w:rsidTr="00ED1C8C">
        <w:trPr>
          <w:trHeight w:val="430"/>
        </w:trPr>
        <w:tc>
          <w:tcPr>
            <w:tcW w:w="1377" w:type="dxa"/>
            <w:vMerge/>
            <w:shd w:val="clear" w:color="auto" w:fill="auto"/>
            <w:vAlign w:val="center"/>
            <w:hideMark/>
          </w:tcPr>
          <w:p w14:paraId="7C673FF3" w14:textId="77777777" w:rsidR="00FD019C" w:rsidRPr="0086765A" w:rsidRDefault="00FD019C" w:rsidP="000D3216">
            <w:pPr>
              <w:pStyle w:val="Legend"/>
              <w:adjustRightInd w:val="0"/>
              <w:spacing w:before="0" w:line="480" w:lineRule="auto"/>
              <w:jc w:val="center"/>
              <w:rPr>
                <w:sz w:val="22"/>
                <w:szCs w:val="22"/>
              </w:rPr>
            </w:pPr>
          </w:p>
        </w:tc>
        <w:tc>
          <w:tcPr>
            <w:tcW w:w="2038" w:type="dxa"/>
            <w:vMerge/>
            <w:shd w:val="clear" w:color="auto" w:fill="auto"/>
            <w:vAlign w:val="center"/>
            <w:hideMark/>
          </w:tcPr>
          <w:p w14:paraId="200D52E0" w14:textId="77777777" w:rsidR="00FD019C" w:rsidRPr="0086765A" w:rsidRDefault="00FD019C" w:rsidP="000D3216">
            <w:pPr>
              <w:pStyle w:val="Legend"/>
              <w:adjustRightInd w:val="0"/>
              <w:spacing w:before="0" w:line="480" w:lineRule="auto"/>
              <w:jc w:val="center"/>
              <w:rPr>
                <w:sz w:val="22"/>
                <w:szCs w:val="22"/>
              </w:rPr>
            </w:pPr>
          </w:p>
        </w:tc>
        <w:tc>
          <w:tcPr>
            <w:tcW w:w="1917" w:type="dxa"/>
            <w:vMerge/>
            <w:shd w:val="clear" w:color="auto" w:fill="auto"/>
            <w:vAlign w:val="center"/>
            <w:hideMark/>
          </w:tcPr>
          <w:p w14:paraId="3A31301F" w14:textId="77777777" w:rsidR="00FD019C" w:rsidRPr="0086765A" w:rsidRDefault="00FD019C" w:rsidP="000D3216">
            <w:pPr>
              <w:pStyle w:val="Legend"/>
              <w:adjustRightInd w:val="0"/>
              <w:spacing w:before="0" w:line="480" w:lineRule="auto"/>
              <w:jc w:val="center"/>
              <w:rPr>
                <w:sz w:val="22"/>
                <w:szCs w:val="22"/>
              </w:rPr>
            </w:pPr>
          </w:p>
        </w:tc>
        <w:tc>
          <w:tcPr>
            <w:tcW w:w="2673" w:type="dxa"/>
            <w:shd w:val="clear" w:color="auto" w:fill="auto"/>
            <w:tcMar>
              <w:top w:w="15" w:type="dxa"/>
              <w:left w:w="15" w:type="dxa"/>
              <w:bottom w:w="0" w:type="dxa"/>
              <w:right w:w="15" w:type="dxa"/>
            </w:tcMar>
            <w:vAlign w:val="center"/>
            <w:hideMark/>
          </w:tcPr>
          <w:p w14:paraId="0C0FD973"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pancreatitis</w:t>
            </w:r>
          </w:p>
        </w:tc>
        <w:tc>
          <w:tcPr>
            <w:tcW w:w="1817" w:type="dxa"/>
            <w:shd w:val="clear" w:color="auto" w:fill="auto"/>
            <w:tcMar>
              <w:top w:w="15" w:type="dxa"/>
              <w:left w:w="15" w:type="dxa"/>
              <w:bottom w:w="0" w:type="dxa"/>
              <w:right w:w="15" w:type="dxa"/>
            </w:tcMar>
            <w:vAlign w:val="center"/>
            <w:hideMark/>
          </w:tcPr>
          <w:p w14:paraId="5715CF7E" w14:textId="77777777" w:rsidR="00FD019C" w:rsidRPr="0086765A" w:rsidRDefault="00FD019C" w:rsidP="000D3216">
            <w:pPr>
              <w:pStyle w:val="Legend"/>
              <w:adjustRightInd w:val="0"/>
              <w:spacing w:before="0" w:line="480" w:lineRule="auto"/>
              <w:jc w:val="center"/>
              <w:rPr>
                <w:sz w:val="22"/>
                <w:szCs w:val="22"/>
              </w:rPr>
            </w:pPr>
            <w:r w:rsidRPr="0086765A">
              <w:rPr>
                <w:sz w:val="22"/>
                <w:szCs w:val="22"/>
              </w:rPr>
              <w:t>1.09091</w:t>
            </w:r>
          </w:p>
        </w:tc>
      </w:tr>
      <w:tr w:rsidR="00FD019C" w:rsidRPr="0086765A" w14:paraId="41997F93" w14:textId="77777777" w:rsidTr="00ED1C8C">
        <w:trPr>
          <w:trHeight w:val="430"/>
        </w:trPr>
        <w:tc>
          <w:tcPr>
            <w:tcW w:w="1377" w:type="dxa"/>
            <w:vMerge w:val="restart"/>
            <w:shd w:val="clear" w:color="auto" w:fill="auto"/>
            <w:vAlign w:val="center"/>
          </w:tcPr>
          <w:p w14:paraId="1690AC83" w14:textId="554CA9CF" w:rsidR="00FD019C" w:rsidRPr="0086765A" w:rsidRDefault="00FD019C" w:rsidP="000D3216">
            <w:pPr>
              <w:pStyle w:val="Legend"/>
              <w:adjustRightInd w:val="0"/>
              <w:spacing w:before="0" w:line="480" w:lineRule="auto"/>
              <w:jc w:val="center"/>
              <w:rPr>
                <w:sz w:val="22"/>
                <w:szCs w:val="22"/>
              </w:rPr>
            </w:pPr>
            <w:r w:rsidRPr="0086765A">
              <w:rPr>
                <w:color w:val="000000" w:themeColor="dark1"/>
                <w:kern w:val="24"/>
                <w:sz w:val="22"/>
                <w:szCs w:val="22"/>
              </w:rPr>
              <w:t>albuterol (</w:t>
            </w:r>
            <w:r w:rsidR="00BB6F69">
              <w:rPr>
                <w:color w:val="000000" w:themeColor="dark1"/>
                <w:kern w:val="24"/>
                <w:sz w:val="22"/>
                <w:szCs w:val="22"/>
              </w:rPr>
              <w:t>albuterol</w:t>
            </w:r>
            <w:r w:rsidR="00BB6F69" w:rsidRPr="0086765A">
              <w:rPr>
                <w:color w:val="000000" w:themeColor="dark1"/>
                <w:kern w:val="24"/>
                <w:sz w:val="22"/>
                <w:szCs w:val="22"/>
              </w:rPr>
              <w:t>)</w:t>
            </w:r>
          </w:p>
        </w:tc>
        <w:tc>
          <w:tcPr>
            <w:tcW w:w="2038" w:type="dxa"/>
            <w:vMerge w:val="restart"/>
            <w:shd w:val="clear" w:color="auto" w:fill="auto"/>
            <w:vAlign w:val="center"/>
          </w:tcPr>
          <w:p w14:paraId="4736D75C" w14:textId="77777777" w:rsidR="00FD019C" w:rsidRPr="0086765A" w:rsidRDefault="00FD019C" w:rsidP="000D3216">
            <w:pPr>
              <w:pStyle w:val="Legend"/>
              <w:adjustRightInd w:val="0"/>
              <w:spacing w:before="0" w:line="480" w:lineRule="auto"/>
              <w:jc w:val="center"/>
              <w:rPr>
                <w:sz w:val="22"/>
                <w:szCs w:val="22"/>
              </w:rPr>
            </w:pPr>
            <w:r w:rsidRPr="0086765A">
              <w:rPr>
                <w:color w:val="000000" w:themeColor="dark1"/>
                <w:kern w:val="24"/>
                <w:sz w:val="22"/>
                <w:szCs w:val="22"/>
              </w:rPr>
              <w:t>atropine</w:t>
            </w:r>
          </w:p>
        </w:tc>
        <w:tc>
          <w:tcPr>
            <w:tcW w:w="1917" w:type="dxa"/>
            <w:vMerge w:val="restart"/>
            <w:shd w:val="clear" w:color="auto" w:fill="auto"/>
            <w:vAlign w:val="center"/>
          </w:tcPr>
          <w:p w14:paraId="1DF0BFFD" w14:textId="77777777" w:rsidR="00FD019C" w:rsidRPr="0086765A" w:rsidRDefault="00FD019C" w:rsidP="000D3216">
            <w:pPr>
              <w:pStyle w:val="Legend"/>
              <w:adjustRightInd w:val="0"/>
              <w:spacing w:before="0" w:line="480" w:lineRule="auto"/>
              <w:jc w:val="center"/>
              <w:rPr>
                <w:sz w:val="22"/>
                <w:szCs w:val="22"/>
              </w:rPr>
            </w:pPr>
            <w:r w:rsidRPr="0086765A">
              <w:rPr>
                <w:color w:val="000000" w:themeColor="dark1"/>
                <w:kern w:val="24"/>
                <w:sz w:val="22"/>
                <w:szCs w:val="22"/>
              </w:rPr>
              <w:t>sepsis</w:t>
            </w:r>
          </w:p>
        </w:tc>
        <w:tc>
          <w:tcPr>
            <w:tcW w:w="2673" w:type="dxa"/>
            <w:shd w:val="clear" w:color="auto" w:fill="auto"/>
            <w:tcMar>
              <w:top w:w="15" w:type="dxa"/>
              <w:left w:w="15" w:type="dxa"/>
              <w:bottom w:w="0" w:type="dxa"/>
              <w:right w:w="15" w:type="dxa"/>
            </w:tcMar>
            <w:vAlign w:val="center"/>
          </w:tcPr>
          <w:p w14:paraId="3801FF0A" w14:textId="77777777" w:rsidR="00FD019C" w:rsidRPr="0086765A" w:rsidRDefault="00FD019C" w:rsidP="000D3216">
            <w:pPr>
              <w:pStyle w:val="Legend"/>
              <w:adjustRightInd w:val="0"/>
              <w:spacing w:before="0" w:line="480" w:lineRule="auto"/>
              <w:jc w:val="center"/>
              <w:rPr>
                <w:sz w:val="22"/>
                <w:szCs w:val="22"/>
              </w:rPr>
            </w:pPr>
            <w:r w:rsidRPr="0086765A">
              <w:rPr>
                <w:color w:val="000000" w:themeColor="dark1"/>
                <w:kern w:val="24"/>
                <w:sz w:val="22"/>
                <w:szCs w:val="22"/>
              </w:rPr>
              <w:t>sepsis</w:t>
            </w:r>
          </w:p>
        </w:tc>
        <w:tc>
          <w:tcPr>
            <w:tcW w:w="1817" w:type="dxa"/>
            <w:shd w:val="clear" w:color="auto" w:fill="auto"/>
            <w:tcMar>
              <w:top w:w="15" w:type="dxa"/>
              <w:left w:w="15" w:type="dxa"/>
              <w:bottom w:w="0" w:type="dxa"/>
              <w:right w:w="15" w:type="dxa"/>
            </w:tcMar>
            <w:vAlign w:val="center"/>
          </w:tcPr>
          <w:p w14:paraId="3FA1E9F7" w14:textId="77777777" w:rsidR="00FD019C" w:rsidRPr="0086765A" w:rsidRDefault="00FD019C" w:rsidP="000D3216">
            <w:pPr>
              <w:pStyle w:val="Legend"/>
              <w:adjustRightInd w:val="0"/>
              <w:spacing w:before="0" w:line="480" w:lineRule="auto"/>
              <w:jc w:val="center"/>
              <w:rPr>
                <w:sz w:val="22"/>
                <w:szCs w:val="22"/>
              </w:rPr>
            </w:pPr>
            <w:r w:rsidRPr="0086765A">
              <w:rPr>
                <w:color w:val="000000" w:themeColor="dark1"/>
                <w:kern w:val="24"/>
                <w:sz w:val="22"/>
                <w:szCs w:val="22"/>
              </w:rPr>
              <w:t>5</w:t>
            </w:r>
          </w:p>
        </w:tc>
      </w:tr>
      <w:tr w:rsidR="00FD019C" w:rsidRPr="0086765A" w14:paraId="40864232" w14:textId="77777777" w:rsidTr="00ED1C8C">
        <w:trPr>
          <w:trHeight w:val="430"/>
        </w:trPr>
        <w:tc>
          <w:tcPr>
            <w:tcW w:w="1377" w:type="dxa"/>
            <w:vMerge/>
            <w:shd w:val="clear" w:color="auto" w:fill="auto"/>
            <w:vAlign w:val="center"/>
          </w:tcPr>
          <w:p w14:paraId="38BFF1E2" w14:textId="77777777" w:rsidR="00FD019C" w:rsidRPr="0086765A" w:rsidRDefault="00FD019C" w:rsidP="000D3216">
            <w:pPr>
              <w:pStyle w:val="Legend"/>
              <w:adjustRightInd w:val="0"/>
              <w:spacing w:before="0" w:line="480" w:lineRule="auto"/>
              <w:jc w:val="center"/>
              <w:rPr>
                <w:sz w:val="22"/>
                <w:szCs w:val="22"/>
              </w:rPr>
            </w:pPr>
          </w:p>
        </w:tc>
        <w:tc>
          <w:tcPr>
            <w:tcW w:w="2038" w:type="dxa"/>
            <w:vMerge/>
            <w:shd w:val="clear" w:color="auto" w:fill="auto"/>
            <w:vAlign w:val="center"/>
          </w:tcPr>
          <w:p w14:paraId="36AF4FE2" w14:textId="77777777" w:rsidR="00FD019C" w:rsidRPr="0086765A" w:rsidRDefault="00FD019C" w:rsidP="000D3216">
            <w:pPr>
              <w:pStyle w:val="Legend"/>
              <w:adjustRightInd w:val="0"/>
              <w:spacing w:before="0" w:line="480" w:lineRule="auto"/>
              <w:jc w:val="center"/>
              <w:rPr>
                <w:sz w:val="22"/>
                <w:szCs w:val="22"/>
              </w:rPr>
            </w:pPr>
          </w:p>
        </w:tc>
        <w:tc>
          <w:tcPr>
            <w:tcW w:w="1917" w:type="dxa"/>
            <w:vMerge/>
            <w:shd w:val="clear" w:color="auto" w:fill="auto"/>
            <w:vAlign w:val="center"/>
          </w:tcPr>
          <w:p w14:paraId="7E985056" w14:textId="77777777" w:rsidR="00FD019C" w:rsidRPr="0086765A" w:rsidRDefault="00FD019C" w:rsidP="000D3216">
            <w:pPr>
              <w:pStyle w:val="Legend"/>
              <w:adjustRightInd w:val="0"/>
              <w:spacing w:before="0" w:line="480" w:lineRule="auto"/>
              <w:jc w:val="center"/>
              <w:rPr>
                <w:sz w:val="22"/>
                <w:szCs w:val="22"/>
              </w:rPr>
            </w:pPr>
          </w:p>
        </w:tc>
        <w:tc>
          <w:tcPr>
            <w:tcW w:w="2673" w:type="dxa"/>
            <w:shd w:val="clear" w:color="auto" w:fill="auto"/>
            <w:tcMar>
              <w:top w:w="15" w:type="dxa"/>
              <w:left w:w="15" w:type="dxa"/>
              <w:bottom w:w="0" w:type="dxa"/>
              <w:right w:w="15" w:type="dxa"/>
            </w:tcMar>
            <w:vAlign w:val="center"/>
          </w:tcPr>
          <w:p w14:paraId="344EFF22" w14:textId="77777777" w:rsidR="00FD019C" w:rsidRPr="0086765A" w:rsidRDefault="00FD019C" w:rsidP="000D3216">
            <w:pPr>
              <w:pStyle w:val="Legend"/>
              <w:adjustRightInd w:val="0"/>
              <w:spacing w:before="0" w:line="480" w:lineRule="auto"/>
              <w:jc w:val="center"/>
              <w:rPr>
                <w:sz w:val="22"/>
                <w:szCs w:val="22"/>
              </w:rPr>
            </w:pPr>
            <w:r w:rsidRPr="0086765A">
              <w:rPr>
                <w:color w:val="000000" w:themeColor="dark1"/>
                <w:kern w:val="24"/>
                <w:sz w:val="22"/>
                <w:szCs w:val="22"/>
              </w:rPr>
              <w:t>urosepsis</w:t>
            </w:r>
          </w:p>
        </w:tc>
        <w:tc>
          <w:tcPr>
            <w:tcW w:w="1817" w:type="dxa"/>
            <w:shd w:val="clear" w:color="auto" w:fill="auto"/>
            <w:tcMar>
              <w:top w:w="15" w:type="dxa"/>
              <w:left w:w="15" w:type="dxa"/>
              <w:bottom w:w="0" w:type="dxa"/>
              <w:right w:w="15" w:type="dxa"/>
            </w:tcMar>
            <w:vAlign w:val="center"/>
          </w:tcPr>
          <w:p w14:paraId="559E99FC" w14:textId="77777777" w:rsidR="00FD019C" w:rsidRPr="0086765A" w:rsidRDefault="00FD019C" w:rsidP="000D3216">
            <w:pPr>
              <w:pStyle w:val="Legend"/>
              <w:adjustRightInd w:val="0"/>
              <w:spacing w:before="0" w:line="480" w:lineRule="auto"/>
              <w:jc w:val="center"/>
              <w:rPr>
                <w:sz w:val="22"/>
                <w:szCs w:val="22"/>
              </w:rPr>
            </w:pPr>
            <w:r w:rsidRPr="0086765A">
              <w:rPr>
                <w:color w:val="000000" w:themeColor="dark1"/>
                <w:kern w:val="24"/>
                <w:sz w:val="22"/>
                <w:szCs w:val="22"/>
              </w:rPr>
              <w:t>10</w:t>
            </w:r>
          </w:p>
        </w:tc>
      </w:tr>
    </w:tbl>
    <w:p w14:paraId="79A65659" w14:textId="77777777" w:rsidR="00FD019C" w:rsidRDefault="00FD019C" w:rsidP="000D3216">
      <w:pPr>
        <w:pStyle w:val="Legend"/>
        <w:spacing w:line="480" w:lineRule="auto"/>
      </w:pPr>
      <w:r>
        <w:rPr>
          <w:b/>
          <w:bCs/>
        </w:rPr>
        <w:t xml:space="preserve">Table 2. </w:t>
      </w:r>
      <w:r w:rsidRPr="0086765A">
        <w:rPr>
          <w:b/>
          <w:bCs/>
        </w:rPr>
        <w:t>TWOSIDES supports predicted drug combination effects</w:t>
      </w:r>
      <w:r>
        <w:t>. PRR = proportional reporting ratio as published in</w:t>
      </w:r>
      <w:r>
        <w:fldChar w:fldCharType="begin"/>
      </w:r>
      <w:r>
        <w:instrText xml:space="preserve"> ADDIN PAPERS2_CITATIONS &lt;citation&gt;&lt;priority&gt;15&lt;/priority&gt;&lt;uuid&gt;7FFBDE20-BB6A-4F59-8EF5-25EB0DAAF907&lt;/uuid&gt;&lt;publications&gt;&lt;publication&gt;&lt;subtype&gt;400&lt;/subtype&gt;&lt;publisher&gt;American Association for the Advancement of Science&lt;/publisher&gt;&lt;title&gt;Data-driven prediction of drug effects and interactions.&lt;/title&gt;&lt;url&gt;http://stm.sciencemag.org/cgi/doi/10.1126/scitranslmed.3003377&lt;/url&gt;&lt;volume&gt;4&lt;/volume&gt;&lt;publication_date&gt;99201203141200000000222000&lt;/publication_date&gt;&lt;uuid&gt;8CE9453A-83E3-4095-8870-40D21C1828FC&lt;/uuid&gt;&lt;type&gt;400&lt;/type&gt;&lt;number&gt;125&lt;/number&gt;&lt;doi&gt;10.1126/scitranslmed.3003377&lt;/doi&gt;&lt;institution&gt;Biomedical Informatics Training Program, Stanford University, Stanford, CA 94305, USA.&lt;/institution&gt;&lt;startpage&gt;125ra31&lt;/startpage&gt;&lt;endpage&gt;125ra31&lt;/endpage&gt;&lt;bundle&gt;&lt;publication&gt;&lt;title&gt;Science translational medicine&lt;/title&gt;&lt;uuid&gt;975E568A-25A3-47B7-9363-C9CDBB169D35&lt;/uuid&gt;&lt;subtype&gt;-100&lt;/subtype&gt;&lt;publisher&gt;American Association for the Advancement of Science&lt;/publisher&gt;&lt;type&gt;-100&lt;/type&gt;&lt;/publication&gt;&lt;/bundle&gt;&lt;authors&gt;&lt;author&gt;&lt;lastName&gt;Tatonetti&lt;/lastName&gt;&lt;firstName&gt;Nicholas&lt;/firstName&gt;&lt;middleNames&gt;P&lt;/middleNames&gt;&lt;/author&gt;&lt;author&gt;&lt;lastName&gt;Ye&lt;/lastName&gt;&lt;firstName&gt;Patrick&lt;/firstName&gt;&lt;middleNames&gt;P&lt;/middleNames&gt;&lt;/author&gt;&lt;author&gt;&lt;lastName&gt;Daneshjou&lt;/lastName&gt;&lt;firstName&gt;Roxana&lt;/firstName&gt;&lt;/author&gt;&lt;author&gt;&lt;lastName&gt;Altman&lt;/lastName&gt;&lt;firstName&gt;Russ&lt;/firstName&gt;&lt;middleNames&gt;B&lt;/middleNames&gt;&lt;/author&gt;&lt;/authors&gt;&lt;/publication&gt;&lt;/publications&gt;&lt;cites&gt;&lt;/cites&gt;&lt;/citation&gt;</w:instrText>
      </w:r>
      <w:r>
        <w:fldChar w:fldCharType="separate"/>
      </w:r>
      <w:r>
        <w:rPr>
          <w:rFonts w:eastAsia="Calibri"/>
        </w:rPr>
        <w:t>(</w:t>
      </w:r>
      <w:r>
        <w:rPr>
          <w:rFonts w:eastAsia="Calibri"/>
          <w:i/>
          <w:iCs/>
        </w:rPr>
        <w:t>18</w:t>
      </w:r>
      <w:r>
        <w:rPr>
          <w:rFonts w:eastAsia="Calibri"/>
        </w:rPr>
        <w:t>)</w:t>
      </w:r>
      <w:r>
        <w:fldChar w:fldCharType="end"/>
      </w:r>
      <w:r>
        <w:t>.</w:t>
      </w:r>
    </w:p>
    <w:p w14:paraId="4AA20B6D" w14:textId="1CD78263" w:rsidR="00FD019C" w:rsidRDefault="00FD019C" w:rsidP="000D3216">
      <w:pPr>
        <w:spacing w:line="480" w:lineRule="auto"/>
      </w:pPr>
    </w:p>
    <w:tbl>
      <w:tblPr>
        <w:tblW w:w="10525"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7465"/>
        <w:gridCol w:w="1042"/>
        <w:gridCol w:w="1042"/>
        <w:gridCol w:w="976"/>
      </w:tblGrid>
      <w:tr w:rsidR="00FD019C" w14:paraId="2A723200" w14:textId="77777777" w:rsidTr="00ED1C8C">
        <w:trPr>
          <w:trHeight w:val="320"/>
        </w:trPr>
        <w:tc>
          <w:tcPr>
            <w:tcW w:w="7465" w:type="dxa"/>
            <w:tcBorders>
              <w:bottom w:val="single" w:sz="4" w:space="0" w:color="auto"/>
            </w:tcBorders>
            <w:shd w:val="clear" w:color="auto" w:fill="auto"/>
            <w:noWrap/>
            <w:vAlign w:val="bottom"/>
            <w:hideMark/>
          </w:tcPr>
          <w:p w14:paraId="48F4141A" w14:textId="77777777" w:rsidR="00FD019C" w:rsidRDefault="00FD019C" w:rsidP="000D3216">
            <w:pPr>
              <w:spacing w:line="480" w:lineRule="auto"/>
              <w:rPr>
                <w:b/>
                <w:bCs/>
                <w:color w:val="000000"/>
              </w:rPr>
            </w:pPr>
            <w:r>
              <w:rPr>
                <w:b/>
                <w:bCs/>
                <w:color w:val="000000"/>
              </w:rPr>
              <w:t>Comparison</w:t>
            </w:r>
          </w:p>
        </w:tc>
        <w:tc>
          <w:tcPr>
            <w:tcW w:w="1042" w:type="dxa"/>
            <w:tcBorders>
              <w:bottom w:val="single" w:sz="4" w:space="0" w:color="auto"/>
            </w:tcBorders>
            <w:shd w:val="clear" w:color="auto" w:fill="auto"/>
            <w:noWrap/>
            <w:vAlign w:val="center"/>
            <w:hideMark/>
          </w:tcPr>
          <w:p w14:paraId="56B40289" w14:textId="77777777" w:rsidR="00FD019C" w:rsidRDefault="00FD019C" w:rsidP="000D3216">
            <w:pPr>
              <w:spacing w:line="480" w:lineRule="auto"/>
              <w:jc w:val="center"/>
              <w:rPr>
                <w:b/>
                <w:bCs/>
                <w:color w:val="000000"/>
              </w:rPr>
            </w:pPr>
            <w:r>
              <w:rPr>
                <w:b/>
                <w:bCs/>
                <w:color w:val="000000"/>
              </w:rPr>
              <w:t>HR</w:t>
            </w:r>
          </w:p>
        </w:tc>
        <w:tc>
          <w:tcPr>
            <w:tcW w:w="1042" w:type="dxa"/>
            <w:tcBorders>
              <w:bottom w:val="single" w:sz="4" w:space="0" w:color="auto"/>
            </w:tcBorders>
            <w:shd w:val="clear" w:color="auto" w:fill="auto"/>
            <w:noWrap/>
            <w:vAlign w:val="center"/>
            <w:hideMark/>
          </w:tcPr>
          <w:p w14:paraId="52D21A7C" w14:textId="77777777" w:rsidR="00FD019C" w:rsidRDefault="00FD019C" w:rsidP="000D3216">
            <w:pPr>
              <w:spacing w:line="480" w:lineRule="auto"/>
              <w:jc w:val="center"/>
              <w:rPr>
                <w:b/>
                <w:bCs/>
                <w:color w:val="000000"/>
              </w:rPr>
            </w:pPr>
            <w:r>
              <w:rPr>
                <w:b/>
                <w:bCs/>
                <w:color w:val="000000"/>
              </w:rPr>
              <w:t>lower 0.95</w:t>
            </w:r>
          </w:p>
        </w:tc>
        <w:tc>
          <w:tcPr>
            <w:tcW w:w="976" w:type="dxa"/>
            <w:tcBorders>
              <w:bottom w:val="single" w:sz="4" w:space="0" w:color="auto"/>
            </w:tcBorders>
            <w:shd w:val="clear" w:color="auto" w:fill="auto"/>
            <w:noWrap/>
            <w:vAlign w:val="center"/>
            <w:hideMark/>
          </w:tcPr>
          <w:p w14:paraId="614EE348" w14:textId="77777777" w:rsidR="00FD019C" w:rsidRDefault="00FD019C" w:rsidP="000D3216">
            <w:pPr>
              <w:spacing w:line="480" w:lineRule="auto"/>
              <w:jc w:val="center"/>
              <w:rPr>
                <w:b/>
                <w:bCs/>
                <w:color w:val="000000"/>
              </w:rPr>
            </w:pPr>
            <w:r>
              <w:rPr>
                <w:b/>
                <w:bCs/>
                <w:color w:val="000000"/>
              </w:rPr>
              <w:t>upper 0.95</w:t>
            </w:r>
          </w:p>
        </w:tc>
      </w:tr>
      <w:tr w:rsidR="00FD019C" w14:paraId="450BFE86" w14:textId="77777777" w:rsidTr="00ED1C8C">
        <w:trPr>
          <w:trHeight w:val="320"/>
        </w:trPr>
        <w:tc>
          <w:tcPr>
            <w:tcW w:w="10525" w:type="dxa"/>
            <w:gridSpan w:val="4"/>
            <w:tcBorders>
              <w:top w:val="single" w:sz="4" w:space="0" w:color="auto"/>
              <w:bottom w:val="nil"/>
            </w:tcBorders>
            <w:shd w:val="clear" w:color="auto" w:fill="auto"/>
            <w:noWrap/>
            <w:vAlign w:val="bottom"/>
            <w:hideMark/>
          </w:tcPr>
          <w:p w14:paraId="79F4F29A" w14:textId="77777777" w:rsidR="00FD019C" w:rsidRDefault="00FD019C" w:rsidP="000D3216">
            <w:pPr>
              <w:spacing w:line="480" w:lineRule="auto"/>
              <w:jc w:val="center"/>
              <w:rPr>
                <w:i/>
                <w:iCs/>
                <w:color w:val="000000"/>
              </w:rPr>
            </w:pPr>
            <w:r>
              <w:rPr>
                <w:i/>
                <w:iCs/>
                <w:color w:val="000000"/>
              </w:rPr>
              <w:t>Pancreatitis</w:t>
            </w:r>
          </w:p>
        </w:tc>
      </w:tr>
      <w:tr w:rsidR="00FD019C" w14:paraId="427A487F" w14:textId="77777777" w:rsidTr="00ED1C8C">
        <w:trPr>
          <w:trHeight w:val="320"/>
        </w:trPr>
        <w:tc>
          <w:tcPr>
            <w:tcW w:w="7465" w:type="dxa"/>
            <w:tcBorders>
              <w:top w:val="nil"/>
              <w:bottom w:val="nil"/>
            </w:tcBorders>
            <w:shd w:val="clear" w:color="auto" w:fill="auto"/>
            <w:noWrap/>
            <w:vAlign w:val="bottom"/>
            <w:hideMark/>
          </w:tcPr>
          <w:p w14:paraId="783028D4" w14:textId="77777777" w:rsidR="00FD019C" w:rsidRDefault="00FD019C" w:rsidP="000D3216">
            <w:pPr>
              <w:spacing w:line="480" w:lineRule="auto"/>
              <w:rPr>
                <w:color w:val="000000"/>
              </w:rPr>
            </w:pPr>
            <w:r>
              <w:rPr>
                <w:color w:val="000000"/>
              </w:rPr>
              <w:t>T-E-N-Network Drugs vs non-Network Drugs</w:t>
            </w:r>
          </w:p>
        </w:tc>
        <w:tc>
          <w:tcPr>
            <w:tcW w:w="1042" w:type="dxa"/>
            <w:tcBorders>
              <w:top w:val="nil"/>
              <w:bottom w:val="nil"/>
            </w:tcBorders>
            <w:shd w:val="clear" w:color="auto" w:fill="auto"/>
            <w:noWrap/>
            <w:vAlign w:val="center"/>
            <w:hideMark/>
          </w:tcPr>
          <w:p w14:paraId="6A9B3829" w14:textId="77777777" w:rsidR="00FD019C" w:rsidRDefault="00FD019C" w:rsidP="000D3216">
            <w:pPr>
              <w:spacing w:line="480" w:lineRule="auto"/>
              <w:jc w:val="center"/>
              <w:rPr>
                <w:color w:val="000000"/>
              </w:rPr>
            </w:pPr>
            <w:r>
              <w:rPr>
                <w:color w:val="000000"/>
              </w:rPr>
              <w:t>0.580</w:t>
            </w:r>
          </w:p>
        </w:tc>
        <w:tc>
          <w:tcPr>
            <w:tcW w:w="1042" w:type="dxa"/>
            <w:tcBorders>
              <w:top w:val="nil"/>
              <w:bottom w:val="nil"/>
            </w:tcBorders>
            <w:shd w:val="clear" w:color="auto" w:fill="auto"/>
            <w:noWrap/>
            <w:vAlign w:val="center"/>
            <w:hideMark/>
          </w:tcPr>
          <w:p w14:paraId="5FC67381" w14:textId="77777777" w:rsidR="00FD019C" w:rsidRDefault="00FD019C" w:rsidP="000D3216">
            <w:pPr>
              <w:spacing w:line="480" w:lineRule="auto"/>
              <w:jc w:val="center"/>
              <w:rPr>
                <w:color w:val="000000"/>
              </w:rPr>
            </w:pPr>
            <w:r>
              <w:rPr>
                <w:color w:val="000000"/>
              </w:rPr>
              <w:t>0.519</w:t>
            </w:r>
          </w:p>
        </w:tc>
        <w:tc>
          <w:tcPr>
            <w:tcW w:w="976" w:type="dxa"/>
            <w:tcBorders>
              <w:top w:val="nil"/>
              <w:bottom w:val="nil"/>
            </w:tcBorders>
            <w:shd w:val="clear" w:color="auto" w:fill="auto"/>
            <w:noWrap/>
            <w:vAlign w:val="center"/>
            <w:hideMark/>
          </w:tcPr>
          <w:p w14:paraId="5B4A0A4E" w14:textId="77777777" w:rsidR="00FD019C" w:rsidRDefault="00FD019C" w:rsidP="000D3216">
            <w:pPr>
              <w:spacing w:line="480" w:lineRule="auto"/>
              <w:jc w:val="center"/>
              <w:rPr>
                <w:color w:val="000000"/>
              </w:rPr>
            </w:pPr>
            <w:r>
              <w:rPr>
                <w:color w:val="000000"/>
              </w:rPr>
              <w:t>0.648</w:t>
            </w:r>
          </w:p>
        </w:tc>
      </w:tr>
      <w:tr w:rsidR="00FD019C" w14:paraId="7B7CB15F" w14:textId="77777777" w:rsidTr="00ED1C8C">
        <w:trPr>
          <w:trHeight w:val="320"/>
        </w:trPr>
        <w:tc>
          <w:tcPr>
            <w:tcW w:w="7465" w:type="dxa"/>
            <w:tcBorders>
              <w:top w:val="nil"/>
              <w:bottom w:val="single" w:sz="4" w:space="0" w:color="auto"/>
            </w:tcBorders>
            <w:shd w:val="clear" w:color="auto" w:fill="auto"/>
            <w:noWrap/>
            <w:vAlign w:val="bottom"/>
            <w:hideMark/>
          </w:tcPr>
          <w:p w14:paraId="683C1B22" w14:textId="77777777" w:rsidR="00FD019C" w:rsidRDefault="00FD019C" w:rsidP="000D3216">
            <w:pPr>
              <w:spacing w:line="480" w:lineRule="auto"/>
              <w:rPr>
                <w:color w:val="000000"/>
              </w:rPr>
            </w:pPr>
            <w:r>
              <w:rPr>
                <w:color w:val="000000"/>
              </w:rPr>
              <w:t xml:space="preserve">Aspirin + T-E-N-Network </w:t>
            </w:r>
            <w:proofErr w:type="spellStart"/>
            <w:r>
              <w:rPr>
                <w:color w:val="000000"/>
              </w:rPr>
              <w:t>Drugs_vs_Aspirin</w:t>
            </w:r>
            <w:proofErr w:type="spellEnd"/>
            <w:r>
              <w:rPr>
                <w:color w:val="000000"/>
              </w:rPr>
              <w:t xml:space="preserve"> + non-Network Drugs</w:t>
            </w:r>
          </w:p>
        </w:tc>
        <w:tc>
          <w:tcPr>
            <w:tcW w:w="1042" w:type="dxa"/>
            <w:tcBorders>
              <w:top w:val="nil"/>
              <w:bottom w:val="single" w:sz="4" w:space="0" w:color="auto"/>
            </w:tcBorders>
            <w:shd w:val="clear" w:color="auto" w:fill="auto"/>
            <w:noWrap/>
            <w:vAlign w:val="center"/>
            <w:hideMark/>
          </w:tcPr>
          <w:p w14:paraId="64E9CFE0" w14:textId="77777777" w:rsidR="00FD019C" w:rsidRDefault="00FD019C" w:rsidP="000D3216">
            <w:pPr>
              <w:spacing w:line="480" w:lineRule="auto"/>
              <w:jc w:val="center"/>
              <w:rPr>
                <w:color w:val="000000"/>
              </w:rPr>
            </w:pPr>
            <w:r>
              <w:rPr>
                <w:color w:val="000000"/>
              </w:rPr>
              <w:t>1.001</w:t>
            </w:r>
          </w:p>
        </w:tc>
        <w:tc>
          <w:tcPr>
            <w:tcW w:w="1042" w:type="dxa"/>
            <w:tcBorders>
              <w:top w:val="nil"/>
              <w:bottom w:val="single" w:sz="4" w:space="0" w:color="auto"/>
            </w:tcBorders>
            <w:shd w:val="clear" w:color="auto" w:fill="auto"/>
            <w:noWrap/>
            <w:vAlign w:val="center"/>
            <w:hideMark/>
          </w:tcPr>
          <w:p w14:paraId="78D8AD1F" w14:textId="77777777" w:rsidR="00FD019C" w:rsidRDefault="00FD019C" w:rsidP="000D3216">
            <w:pPr>
              <w:spacing w:line="480" w:lineRule="auto"/>
              <w:jc w:val="center"/>
              <w:rPr>
                <w:color w:val="000000"/>
              </w:rPr>
            </w:pPr>
            <w:r>
              <w:rPr>
                <w:color w:val="000000"/>
              </w:rPr>
              <w:t>0.514</w:t>
            </w:r>
          </w:p>
        </w:tc>
        <w:tc>
          <w:tcPr>
            <w:tcW w:w="976" w:type="dxa"/>
            <w:tcBorders>
              <w:top w:val="nil"/>
              <w:bottom w:val="single" w:sz="4" w:space="0" w:color="auto"/>
            </w:tcBorders>
            <w:shd w:val="clear" w:color="auto" w:fill="auto"/>
            <w:noWrap/>
            <w:vAlign w:val="center"/>
            <w:hideMark/>
          </w:tcPr>
          <w:p w14:paraId="2B767BEB" w14:textId="77777777" w:rsidR="00FD019C" w:rsidRDefault="00FD019C" w:rsidP="000D3216">
            <w:pPr>
              <w:spacing w:line="480" w:lineRule="auto"/>
              <w:jc w:val="center"/>
              <w:rPr>
                <w:color w:val="000000"/>
              </w:rPr>
            </w:pPr>
            <w:r>
              <w:rPr>
                <w:color w:val="000000"/>
              </w:rPr>
              <w:t>1.959</w:t>
            </w:r>
          </w:p>
        </w:tc>
      </w:tr>
      <w:tr w:rsidR="00FD019C" w14:paraId="10836EED" w14:textId="77777777" w:rsidTr="00ED1C8C">
        <w:trPr>
          <w:trHeight w:val="320"/>
        </w:trPr>
        <w:tc>
          <w:tcPr>
            <w:tcW w:w="10525" w:type="dxa"/>
            <w:gridSpan w:val="4"/>
            <w:tcBorders>
              <w:top w:val="single" w:sz="4" w:space="0" w:color="auto"/>
              <w:bottom w:val="nil"/>
            </w:tcBorders>
            <w:shd w:val="clear" w:color="auto" w:fill="auto"/>
            <w:noWrap/>
            <w:vAlign w:val="bottom"/>
            <w:hideMark/>
          </w:tcPr>
          <w:p w14:paraId="79AD82E4" w14:textId="77777777" w:rsidR="00FD019C" w:rsidRDefault="00FD019C" w:rsidP="000D3216">
            <w:pPr>
              <w:spacing w:line="480" w:lineRule="auto"/>
              <w:jc w:val="center"/>
              <w:rPr>
                <w:i/>
                <w:iCs/>
                <w:color w:val="000000"/>
              </w:rPr>
            </w:pPr>
            <w:r>
              <w:rPr>
                <w:i/>
                <w:iCs/>
                <w:color w:val="000000"/>
              </w:rPr>
              <w:t>Sepsis</w:t>
            </w:r>
          </w:p>
        </w:tc>
      </w:tr>
      <w:tr w:rsidR="00FD019C" w14:paraId="33FDB46E" w14:textId="77777777" w:rsidTr="00ED1C8C">
        <w:trPr>
          <w:trHeight w:val="320"/>
        </w:trPr>
        <w:tc>
          <w:tcPr>
            <w:tcW w:w="7465" w:type="dxa"/>
            <w:tcBorders>
              <w:top w:val="nil"/>
              <w:bottom w:val="nil"/>
            </w:tcBorders>
            <w:shd w:val="clear" w:color="auto" w:fill="auto"/>
            <w:noWrap/>
            <w:vAlign w:val="bottom"/>
            <w:hideMark/>
          </w:tcPr>
          <w:p w14:paraId="1D432496" w14:textId="77777777" w:rsidR="00FD019C" w:rsidRDefault="00FD019C" w:rsidP="000D3216">
            <w:pPr>
              <w:spacing w:line="480" w:lineRule="auto"/>
              <w:rPr>
                <w:color w:val="000000"/>
              </w:rPr>
            </w:pPr>
            <w:r>
              <w:rPr>
                <w:color w:val="000000"/>
              </w:rPr>
              <w:t>ADRB2-network Drugs vs non-Network Drugs</w:t>
            </w:r>
          </w:p>
        </w:tc>
        <w:tc>
          <w:tcPr>
            <w:tcW w:w="1042" w:type="dxa"/>
            <w:tcBorders>
              <w:top w:val="nil"/>
              <w:bottom w:val="nil"/>
            </w:tcBorders>
            <w:shd w:val="clear" w:color="auto" w:fill="auto"/>
            <w:noWrap/>
            <w:vAlign w:val="center"/>
            <w:hideMark/>
          </w:tcPr>
          <w:p w14:paraId="33DF4198" w14:textId="77777777" w:rsidR="00FD019C" w:rsidRDefault="00FD019C" w:rsidP="000D3216">
            <w:pPr>
              <w:spacing w:line="480" w:lineRule="auto"/>
              <w:jc w:val="center"/>
              <w:rPr>
                <w:color w:val="000000"/>
              </w:rPr>
            </w:pPr>
            <w:r>
              <w:rPr>
                <w:color w:val="000000"/>
              </w:rPr>
              <w:t>0.525</w:t>
            </w:r>
          </w:p>
        </w:tc>
        <w:tc>
          <w:tcPr>
            <w:tcW w:w="1042" w:type="dxa"/>
            <w:tcBorders>
              <w:top w:val="nil"/>
              <w:bottom w:val="nil"/>
            </w:tcBorders>
            <w:shd w:val="clear" w:color="auto" w:fill="auto"/>
            <w:noWrap/>
            <w:vAlign w:val="center"/>
            <w:hideMark/>
          </w:tcPr>
          <w:p w14:paraId="16E4396A" w14:textId="77777777" w:rsidR="00FD019C" w:rsidRDefault="00FD019C" w:rsidP="000D3216">
            <w:pPr>
              <w:spacing w:line="480" w:lineRule="auto"/>
              <w:jc w:val="center"/>
              <w:rPr>
                <w:color w:val="000000"/>
              </w:rPr>
            </w:pPr>
            <w:r>
              <w:rPr>
                <w:color w:val="000000"/>
              </w:rPr>
              <w:t>0.499</w:t>
            </w:r>
          </w:p>
        </w:tc>
        <w:tc>
          <w:tcPr>
            <w:tcW w:w="976" w:type="dxa"/>
            <w:tcBorders>
              <w:top w:val="nil"/>
              <w:bottom w:val="nil"/>
            </w:tcBorders>
            <w:shd w:val="clear" w:color="auto" w:fill="auto"/>
            <w:noWrap/>
            <w:vAlign w:val="center"/>
            <w:hideMark/>
          </w:tcPr>
          <w:p w14:paraId="4C7B5F24" w14:textId="77777777" w:rsidR="00FD019C" w:rsidRDefault="00FD019C" w:rsidP="000D3216">
            <w:pPr>
              <w:spacing w:line="480" w:lineRule="auto"/>
              <w:jc w:val="center"/>
              <w:rPr>
                <w:color w:val="000000"/>
              </w:rPr>
            </w:pPr>
            <w:r>
              <w:rPr>
                <w:color w:val="000000"/>
              </w:rPr>
              <w:t>0.552</w:t>
            </w:r>
          </w:p>
        </w:tc>
      </w:tr>
      <w:tr w:rsidR="00FD019C" w14:paraId="6A840467" w14:textId="77777777" w:rsidTr="00ED1C8C">
        <w:trPr>
          <w:trHeight w:val="320"/>
        </w:trPr>
        <w:tc>
          <w:tcPr>
            <w:tcW w:w="7465" w:type="dxa"/>
            <w:tcBorders>
              <w:top w:val="nil"/>
              <w:bottom w:val="single" w:sz="4" w:space="0" w:color="auto"/>
            </w:tcBorders>
            <w:shd w:val="clear" w:color="auto" w:fill="auto"/>
            <w:noWrap/>
            <w:vAlign w:val="bottom"/>
            <w:hideMark/>
          </w:tcPr>
          <w:p w14:paraId="26FFBD53" w14:textId="77777777" w:rsidR="00FD019C" w:rsidRDefault="00FD019C" w:rsidP="000D3216">
            <w:pPr>
              <w:spacing w:line="480" w:lineRule="auto"/>
              <w:rPr>
                <w:color w:val="000000"/>
              </w:rPr>
            </w:pPr>
            <w:r>
              <w:rPr>
                <w:color w:val="000000"/>
              </w:rPr>
              <w:t xml:space="preserve">Albuterol + ADRB2-Network </w:t>
            </w:r>
            <w:proofErr w:type="spellStart"/>
            <w:r>
              <w:rPr>
                <w:color w:val="000000"/>
              </w:rPr>
              <w:t>Drugs_vs_Albuterol</w:t>
            </w:r>
            <w:proofErr w:type="spellEnd"/>
            <w:r>
              <w:rPr>
                <w:color w:val="000000"/>
              </w:rPr>
              <w:t xml:space="preserve"> + non-Network Drugs</w:t>
            </w:r>
          </w:p>
        </w:tc>
        <w:tc>
          <w:tcPr>
            <w:tcW w:w="1042" w:type="dxa"/>
            <w:tcBorders>
              <w:top w:val="nil"/>
              <w:bottom w:val="single" w:sz="4" w:space="0" w:color="auto"/>
            </w:tcBorders>
            <w:shd w:val="clear" w:color="auto" w:fill="auto"/>
            <w:noWrap/>
            <w:vAlign w:val="center"/>
            <w:hideMark/>
          </w:tcPr>
          <w:p w14:paraId="3C0ED911" w14:textId="77777777" w:rsidR="00FD019C" w:rsidRDefault="00FD019C" w:rsidP="000D3216">
            <w:pPr>
              <w:spacing w:line="480" w:lineRule="auto"/>
              <w:jc w:val="center"/>
              <w:rPr>
                <w:color w:val="000000"/>
              </w:rPr>
            </w:pPr>
            <w:r>
              <w:rPr>
                <w:color w:val="000000"/>
              </w:rPr>
              <w:t>0.792</w:t>
            </w:r>
          </w:p>
        </w:tc>
        <w:tc>
          <w:tcPr>
            <w:tcW w:w="1042" w:type="dxa"/>
            <w:tcBorders>
              <w:top w:val="nil"/>
              <w:bottom w:val="single" w:sz="4" w:space="0" w:color="auto"/>
            </w:tcBorders>
            <w:shd w:val="clear" w:color="auto" w:fill="auto"/>
            <w:noWrap/>
            <w:vAlign w:val="center"/>
            <w:hideMark/>
          </w:tcPr>
          <w:p w14:paraId="20AA38B2" w14:textId="77777777" w:rsidR="00FD019C" w:rsidRDefault="00FD019C" w:rsidP="000D3216">
            <w:pPr>
              <w:spacing w:line="480" w:lineRule="auto"/>
              <w:jc w:val="center"/>
              <w:rPr>
                <w:color w:val="000000"/>
              </w:rPr>
            </w:pPr>
            <w:r>
              <w:rPr>
                <w:color w:val="000000"/>
              </w:rPr>
              <w:t>0.739</w:t>
            </w:r>
          </w:p>
        </w:tc>
        <w:tc>
          <w:tcPr>
            <w:tcW w:w="976" w:type="dxa"/>
            <w:tcBorders>
              <w:top w:val="nil"/>
              <w:bottom w:val="single" w:sz="4" w:space="0" w:color="auto"/>
            </w:tcBorders>
            <w:shd w:val="clear" w:color="auto" w:fill="auto"/>
            <w:noWrap/>
            <w:vAlign w:val="center"/>
            <w:hideMark/>
          </w:tcPr>
          <w:p w14:paraId="3D4DBE22" w14:textId="77777777" w:rsidR="00FD019C" w:rsidRDefault="00FD019C" w:rsidP="000D3216">
            <w:pPr>
              <w:spacing w:line="480" w:lineRule="auto"/>
              <w:jc w:val="center"/>
              <w:rPr>
                <w:color w:val="000000"/>
              </w:rPr>
            </w:pPr>
            <w:r>
              <w:rPr>
                <w:color w:val="000000"/>
              </w:rPr>
              <w:t>0.848</w:t>
            </w:r>
          </w:p>
        </w:tc>
      </w:tr>
    </w:tbl>
    <w:p w14:paraId="65A9CC64" w14:textId="77777777" w:rsidR="00FD019C" w:rsidRDefault="00FD019C" w:rsidP="000D3216">
      <w:pPr>
        <w:pStyle w:val="Legend"/>
        <w:spacing w:line="480" w:lineRule="auto"/>
        <w:rPr>
          <w:b/>
          <w:bCs/>
        </w:rPr>
      </w:pPr>
      <w:r>
        <w:rPr>
          <w:b/>
          <w:bCs/>
        </w:rPr>
        <w:lastRenderedPageBreak/>
        <w:t xml:space="preserve">Table 3. Adverse event hazard ratios are altered in drugs predicted to have combination network effects.  </w:t>
      </w:r>
    </w:p>
    <w:p w14:paraId="3E130486" w14:textId="77777777" w:rsidR="00FD019C" w:rsidRDefault="00FD019C" w:rsidP="000D3216">
      <w:pPr>
        <w:pStyle w:val="Legend"/>
        <w:spacing w:line="480" w:lineRule="auto"/>
        <w:rPr>
          <w:b/>
          <w:bCs/>
        </w:rPr>
      </w:pPr>
    </w:p>
    <w:tbl>
      <w:tblPr>
        <w:tblStyle w:val="TableGrid"/>
        <w:tblW w:w="10435" w:type="dxa"/>
        <w:tblLook w:val="04A0" w:firstRow="1" w:lastRow="0" w:firstColumn="1" w:lastColumn="0" w:noHBand="0" w:noVBand="1"/>
      </w:tblPr>
      <w:tblGrid>
        <w:gridCol w:w="622"/>
        <w:gridCol w:w="1026"/>
        <w:gridCol w:w="855"/>
        <w:gridCol w:w="1193"/>
        <w:gridCol w:w="763"/>
        <w:gridCol w:w="1408"/>
        <w:gridCol w:w="1961"/>
        <w:gridCol w:w="1305"/>
        <w:gridCol w:w="1302"/>
      </w:tblGrid>
      <w:tr w:rsidR="00FD019C" w:rsidRPr="00485627" w14:paraId="3BF0CBC0" w14:textId="77777777" w:rsidTr="00ED1C8C">
        <w:trPr>
          <w:trHeight w:val="320"/>
        </w:trPr>
        <w:tc>
          <w:tcPr>
            <w:tcW w:w="1648" w:type="dxa"/>
            <w:gridSpan w:val="2"/>
            <w:noWrap/>
            <w:hideMark/>
          </w:tcPr>
          <w:p w14:paraId="7AA16D9B" w14:textId="77777777" w:rsidR="00FD019C" w:rsidRPr="00485627" w:rsidRDefault="00FD019C" w:rsidP="000D3216">
            <w:pPr>
              <w:pStyle w:val="Legend"/>
              <w:spacing w:before="0" w:line="480" w:lineRule="auto"/>
              <w:jc w:val="center"/>
              <w:rPr>
                <w:i/>
                <w:iCs/>
                <w:sz w:val="20"/>
                <w:szCs w:val="20"/>
              </w:rPr>
            </w:pPr>
            <w:r w:rsidRPr="00485627">
              <w:rPr>
                <w:i/>
                <w:iCs/>
                <w:sz w:val="20"/>
                <w:szCs w:val="20"/>
              </w:rPr>
              <w:t>With Combo Drug</w:t>
            </w:r>
          </w:p>
        </w:tc>
        <w:tc>
          <w:tcPr>
            <w:tcW w:w="2048" w:type="dxa"/>
            <w:gridSpan w:val="2"/>
            <w:tcBorders>
              <w:right w:val="single" w:sz="4" w:space="0" w:color="auto"/>
            </w:tcBorders>
            <w:noWrap/>
            <w:hideMark/>
          </w:tcPr>
          <w:p w14:paraId="1DF6C6DA" w14:textId="77777777" w:rsidR="00FD019C" w:rsidRPr="00485627" w:rsidRDefault="00FD019C" w:rsidP="000D3216">
            <w:pPr>
              <w:pStyle w:val="Legend"/>
              <w:spacing w:before="0" w:line="480" w:lineRule="auto"/>
              <w:jc w:val="center"/>
              <w:rPr>
                <w:i/>
                <w:iCs/>
                <w:sz w:val="20"/>
                <w:szCs w:val="20"/>
              </w:rPr>
            </w:pPr>
            <w:r w:rsidRPr="00485627">
              <w:rPr>
                <w:i/>
                <w:iCs/>
                <w:sz w:val="20"/>
                <w:szCs w:val="20"/>
              </w:rPr>
              <w:t>Without Combo Drug</w:t>
            </w:r>
          </w:p>
        </w:tc>
        <w:tc>
          <w:tcPr>
            <w:tcW w:w="763" w:type="dxa"/>
            <w:tcBorders>
              <w:top w:val="single" w:sz="4" w:space="0" w:color="auto"/>
              <w:left w:val="single" w:sz="4" w:space="0" w:color="auto"/>
              <w:bottom w:val="single" w:sz="4" w:space="0" w:color="auto"/>
              <w:right w:val="nil"/>
            </w:tcBorders>
            <w:noWrap/>
            <w:hideMark/>
          </w:tcPr>
          <w:p w14:paraId="1F375045" w14:textId="77777777" w:rsidR="00FD019C" w:rsidRPr="00485627" w:rsidRDefault="00FD019C" w:rsidP="000D3216">
            <w:pPr>
              <w:pStyle w:val="Legend"/>
              <w:spacing w:before="0" w:line="480" w:lineRule="auto"/>
              <w:rPr>
                <w:b/>
                <w:bCs/>
                <w:i/>
                <w:iCs/>
                <w:sz w:val="20"/>
                <w:szCs w:val="20"/>
              </w:rPr>
            </w:pPr>
          </w:p>
        </w:tc>
        <w:tc>
          <w:tcPr>
            <w:tcW w:w="1408" w:type="dxa"/>
            <w:tcBorders>
              <w:top w:val="single" w:sz="4" w:space="0" w:color="auto"/>
              <w:left w:val="nil"/>
              <w:bottom w:val="single" w:sz="4" w:space="0" w:color="auto"/>
              <w:right w:val="nil"/>
            </w:tcBorders>
            <w:noWrap/>
            <w:hideMark/>
          </w:tcPr>
          <w:p w14:paraId="280F2DF3" w14:textId="77777777" w:rsidR="00FD019C" w:rsidRPr="00485627" w:rsidRDefault="00FD019C" w:rsidP="000D3216">
            <w:pPr>
              <w:pStyle w:val="Legend"/>
              <w:spacing w:before="0" w:line="480" w:lineRule="auto"/>
              <w:rPr>
                <w:b/>
                <w:bCs/>
                <w:sz w:val="20"/>
                <w:szCs w:val="20"/>
              </w:rPr>
            </w:pPr>
          </w:p>
        </w:tc>
        <w:tc>
          <w:tcPr>
            <w:tcW w:w="1961" w:type="dxa"/>
            <w:tcBorders>
              <w:top w:val="single" w:sz="4" w:space="0" w:color="auto"/>
              <w:left w:val="nil"/>
              <w:bottom w:val="single" w:sz="4" w:space="0" w:color="auto"/>
              <w:right w:val="nil"/>
            </w:tcBorders>
            <w:noWrap/>
            <w:hideMark/>
          </w:tcPr>
          <w:p w14:paraId="696296AC" w14:textId="77777777" w:rsidR="00FD019C" w:rsidRPr="00485627" w:rsidRDefault="00FD019C" w:rsidP="000D3216">
            <w:pPr>
              <w:pStyle w:val="Legend"/>
              <w:spacing w:before="0" w:line="480" w:lineRule="auto"/>
              <w:rPr>
                <w:b/>
                <w:bCs/>
                <w:sz w:val="20"/>
                <w:szCs w:val="20"/>
              </w:rPr>
            </w:pPr>
          </w:p>
        </w:tc>
        <w:tc>
          <w:tcPr>
            <w:tcW w:w="1305" w:type="dxa"/>
            <w:tcBorders>
              <w:top w:val="single" w:sz="4" w:space="0" w:color="auto"/>
              <w:left w:val="nil"/>
              <w:bottom w:val="single" w:sz="4" w:space="0" w:color="auto"/>
              <w:right w:val="nil"/>
            </w:tcBorders>
            <w:noWrap/>
          </w:tcPr>
          <w:p w14:paraId="063B24B2" w14:textId="77777777" w:rsidR="00FD019C" w:rsidRPr="00485627" w:rsidRDefault="00FD019C" w:rsidP="000D3216">
            <w:pPr>
              <w:pStyle w:val="Legend"/>
              <w:spacing w:before="0" w:line="480" w:lineRule="auto"/>
              <w:rPr>
                <w:b/>
                <w:bCs/>
                <w:sz w:val="20"/>
                <w:szCs w:val="20"/>
              </w:rPr>
            </w:pPr>
          </w:p>
        </w:tc>
        <w:tc>
          <w:tcPr>
            <w:tcW w:w="1302" w:type="dxa"/>
            <w:tcBorders>
              <w:top w:val="single" w:sz="4" w:space="0" w:color="auto"/>
              <w:left w:val="nil"/>
              <w:bottom w:val="single" w:sz="4" w:space="0" w:color="auto"/>
              <w:right w:val="single" w:sz="4" w:space="0" w:color="auto"/>
            </w:tcBorders>
          </w:tcPr>
          <w:p w14:paraId="25FB7CD5" w14:textId="77777777" w:rsidR="00FD019C" w:rsidRPr="00485627" w:rsidRDefault="00FD019C" w:rsidP="000D3216">
            <w:pPr>
              <w:pStyle w:val="Legend"/>
              <w:spacing w:before="0" w:line="480" w:lineRule="auto"/>
              <w:rPr>
                <w:b/>
                <w:bCs/>
                <w:sz w:val="20"/>
                <w:szCs w:val="20"/>
              </w:rPr>
            </w:pPr>
          </w:p>
        </w:tc>
      </w:tr>
      <w:tr w:rsidR="00FD019C" w:rsidRPr="00485627" w14:paraId="1AFDF1B7" w14:textId="77777777" w:rsidTr="00ED1C8C">
        <w:trPr>
          <w:trHeight w:val="320"/>
        </w:trPr>
        <w:tc>
          <w:tcPr>
            <w:tcW w:w="622" w:type="dxa"/>
            <w:noWrap/>
            <w:hideMark/>
          </w:tcPr>
          <w:p w14:paraId="1FC54C75" w14:textId="77777777" w:rsidR="00FD019C" w:rsidRPr="00485627" w:rsidRDefault="00FD019C" w:rsidP="000D3216">
            <w:pPr>
              <w:pStyle w:val="Legend"/>
              <w:spacing w:before="0" w:line="480" w:lineRule="auto"/>
              <w:jc w:val="center"/>
              <w:rPr>
                <w:b/>
                <w:bCs/>
                <w:sz w:val="20"/>
                <w:szCs w:val="20"/>
              </w:rPr>
            </w:pPr>
            <w:r w:rsidRPr="00485627">
              <w:rPr>
                <w:b/>
                <w:bCs/>
                <w:sz w:val="20"/>
                <w:szCs w:val="20"/>
              </w:rPr>
              <w:t>HR</w:t>
            </w:r>
          </w:p>
        </w:tc>
        <w:tc>
          <w:tcPr>
            <w:tcW w:w="1026" w:type="dxa"/>
            <w:noWrap/>
            <w:hideMark/>
          </w:tcPr>
          <w:p w14:paraId="6F12F7D2" w14:textId="77777777" w:rsidR="00FD019C" w:rsidRPr="00485627" w:rsidRDefault="00FD019C" w:rsidP="000D3216">
            <w:pPr>
              <w:pStyle w:val="Legend"/>
              <w:spacing w:before="0" w:line="480" w:lineRule="auto"/>
              <w:jc w:val="center"/>
              <w:rPr>
                <w:b/>
                <w:bCs/>
                <w:sz w:val="20"/>
                <w:szCs w:val="20"/>
              </w:rPr>
            </w:pPr>
            <w:r w:rsidRPr="00485627">
              <w:rPr>
                <w:b/>
                <w:bCs/>
                <w:sz w:val="20"/>
                <w:szCs w:val="20"/>
              </w:rPr>
              <w:t>P-value</w:t>
            </w:r>
          </w:p>
        </w:tc>
        <w:tc>
          <w:tcPr>
            <w:tcW w:w="855" w:type="dxa"/>
            <w:noWrap/>
            <w:hideMark/>
          </w:tcPr>
          <w:p w14:paraId="45BA32E4" w14:textId="77777777" w:rsidR="00FD019C" w:rsidRPr="00485627" w:rsidRDefault="00FD019C" w:rsidP="000D3216">
            <w:pPr>
              <w:pStyle w:val="Legend"/>
              <w:spacing w:before="0" w:line="480" w:lineRule="auto"/>
              <w:jc w:val="center"/>
              <w:rPr>
                <w:b/>
                <w:bCs/>
                <w:sz w:val="20"/>
                <w:szCs w:val="20"/>
              </w:rPr>
            </w:pPr>
            <w:r w:rsidRPr="00485627">
              <w:rPr>
                <w:b/>
                <w:bCs/>
                <w:sz w:val="20"/>
                <w:szCs w:val="20"/>
              </w:rPr>
              <w:t>HR</w:t>
            </w:r>
          </w:p>
        </w:tc>
        <w:tc>
          <w:tcPr>
            <w:tcW w:w="1193" w:type="dxa"/>
            <w:noWrap/>
            <w:hideMark/>
          </w:tcPr>
          <w:p w14:paraId="133F3B8F" w14:textId="77777777" w:rsidR="00FD019C" w:rsidRPr="00485627" w:rsidRDefault="00FD019C" w:rsidP="000D3216">
            <w:pPr>
              <w:pStyle w:val="Legend"/>
              <w:spacing w:before="0" w:line="480" w:lineRule="auto"/>
              <w:jc w:val="center"/>
              <w:rPr>
                <w:b/>
                <w:bCs/>
                <w:sz w:val="20"/>
                <w:szCs w:val="20"/>
              </w:rPr>
            </w:pPr>
            <w:r w:rsidRPr="00485627">
              <w:rPr>
                <w:b/>
                <w:bCs/>
                <w:sz w:val="20"/>
                <w:szCs w:val="20"/>
              </w:rPr>
              <w:t>P-value</w:t>
            </w:r>
          </w:p>
        </w:tc>
        <w:tc>
          <w:tcPr>
            <w:tcW w:w="763" w:type="dxa"/>
            <w:tcBorders>
              <w:top w:val="single" w:sz="4" w:space="0" w:color="auto"/>
            </w:tcBorders>
            <w:noWrap/>
            <w:hideMark/>
          </w:tcPr>
          <w:p w14:paraId="7BDC918C" w14:textId="77777777" w:rsidR="00FD019C" w:rsidRPr="00485627" w:rsidRDefault="00FD019C" w:rsidP="000D3216">
            <w:pPr>
              <w:pStyle w:val="Legend"/>
              <w:spacing w:before="0" w:line="480" w:lineRule="auto"/>
              <w:jc w:val="center"/>
              <w:rPr>
                <w:b/>
                <w:bCs/>
                <w:sz w:val="20"/>
                <w:szCs w:val="20"/>
              </w:rPr>
            </w:pPr>
            <w:r w:rsidRPr="00485627">
              <w:rPr>
                <w:b/>
                <w:bCs/>
                <w:sz w:val="20"/>
                <w:szCs w:val="20"/>
              </w:rPr>
              <w:t>HR Ratio</w:t>
            </w:r>
          </w:p>
        </w:tc>
        <w:tc>
          <w:tcPr>
            <w:tcW w:w="1408" w:type="dxa"/>
            <w:tcBorders>
              <w:top w:val="single" w:sz="4" w:space="0" w:color="auto"/>
            </w:tcBorders>
            <w:noWrap/>
            <w:hideMark/>
          </w:tcPr>
          <w:p w14:paraId="57C89554" w14:textId="77777777" w:rsidR="00FD019C" w:rsidRPr="00485627" w:rsidRDefault="00FD019C" w:rsidP="000D3216">
            <w:pPr>
              <w:pStyle w:val="Legend"/>
              <w:spacing w:before="0" w:line="480" w:lineRule="auto"/>
              <w:jc w:val="center"/>
              <w:rPr>
                <w:b/>
                <w:bCs/>
                <w:sz w:val="20"/>
                <w:szCs w:val="20"/>
              </w:rPr>
            </w:pPr>
            <w:r w:rsidRPr="00485627">
              <w:rPr>
                <w:b/>
                <w:bCs/>
                <w:sz w:val="20"/>
                <w:szCs w:val="20"/>
              </w:rPr>
              <w:t>AR</w:t>
            </w:r>
          </w:p>
        </w:tc>
        <w:tc>
          <w:tcPr>
            <w:tcW w:w="1961" w:type="dxa"/>
            <w:tcBorders>
              <w:top w:val="single" w:sz="4" w:space="0" w:color="auto"/>
            </w:tcBorders>
            <w:noWrap/>
            <w:hideMark/>
          </w:tcPr>
          <w:p w14:paraId="45159FE4" w14:textId="77777777" w:rsidR="00FD019C" w:rsidRPr="00485627" w:rsidRDefault="00FD019C" w:rsidP="000D3216">
            <w:pPr>
              <w:pStyle w:val="Legend"/>
              <w:spacing w:before="0" w:line="480" w:lineRule="auto"/>
              <w:jc w:val="center"/>
              <w:rPr>
                <w:b/>
                <w:bCs/>
                <w:sz w:val="20"/>
                <w:szCs w:val="20"/>
              </w:rPr>
            </w:pPr>
            <w:r w:rsidRPr="00485627">
              <w:rPr>
                <w:b/>
                <w:bCs/>
                <w:sz w:val="20"/>
                <w:szCs w:val="20"/>
              </w:rPr>
              <w:t>Combo Drug</w:t>
            </w:r>
          </w:p>
        </w:tc>
        <w:tc>
          <w:tcPr>
            <w:tcW w:w="1305" w:type="dxa"/>
            <w:tcBorders>
              <w:top w:val="single" w:sz="4" w:space="0" w:color="auto"/>
            </w:tcBorders>
            <w:noWrap/>
            <w:hideMark/>
          </w:tcPr>
          <w:p w14:paraId="69A3C8A4" w14:textId="77777777" w:rsidR="00FD019C" w:rsidRPr="00485627" w:rsidRDefault="00FD019C" w:rsidP="000D3216">
            <w:pPr>
              <w:pStyle w:val="Legend"/>
              <w:spacing w:before="0" w:line="480" w:lineRule="auto"/>
              <w:jc w:val="center"/>
              <w:rPr>
                <w:b/>
                <w:bCs/>
                <w:sz w:val="20"/>
                <w:szCs w:val="20"/>
              </w:rPr>
            </w:pPr>
            <w:r w:rsidRPr="00485627">
              <w:rPr>
                <w:b/>
                <w:bCs/>
                <w:sz w:val="20"/>
                <w:szCs w:val="20"/>
              </w:rPr>
              <w:t>Downstream Protein</w:t>
            </w:r>
          </w:p>
        </w:tc>
        <w:tc>
          <w:tcPr>
            <w:tcW w:w="1302" w:type="dxa"/>
            <w:tcBorders>
              <w:top w:val="single" w:sz="4" w:space="0" w:color="auto"/>
            </w:tcBorders>
          </w:tcPr>
          <w:p w14:paraId="4B551B1D" w14:textId="77777777" w:rsidR="00FD019C" w:rsidRPr="00485627" w:rsidRDefault="00FD019C" w:rsidP="000D3216">
            <w:pPr>
              <w:pStyle w:val="Legend"/>
              <w:spacing w:before="0" w:line="480" w:lineRule="auto"/>
              <w:jc w:val="center"/>
              <w:rPr>
                <w:b/>
                <w:bCs/>
                <w:sz w:val="20"/>
                <w:szCs w:val="20"/>
              </w:rPr>
            </w:pPr>
            <w:proofErr w:type="spellStart"/>
            <w:r>
              <w:rPr>
                <w:b/>
                <w:bCs/>
                <w:sz w:val="20"/>
                <w:szCs w:val="20"/>
              </w:rPr>
              <w:t>ExpNum</w:t>
            </w:r>
            <w:proofErr w:type="spellEnd"/>
          </w:p>
        </w:tc>
      </w:tr>
      <w:tr w:rsidR="00FD019C" w:rsidRPr="00485627" w14:paraId="7549113B" w14:textId="77777777" w:rsidTr="00ED1C8C">
        <w:trPr>
          <w:trHeight w:val="320"/>
        </w:trPr>
        <w:tc>
          <w:tcPr>
            <w:tcW w:w="622" w:type="dxa"/>
            <w:noWrap/>
            <w:hideMark/>
          </w:tcPr>
          <w:p w14:paraId="1B2ECC94" w14:textId="77777777" w:rsidR="00FD019C" w:rsidRPr="00485627" w:rsidRDefault="00FD019C" w:rsidP="000D3216">
            <w:pPr>
              <w:pStyle w:val="Legend"/>
              <w:spacing w:before="0" w:line="480" w:lineRule="auto"/>
              <w:jc w:val="center"/>
              <w:rPr>
                <w:sz w:val="20"/>
                <w:szCs w:val="20"/>
              </w:rPr>
            </w:pPr>
            <w:r w:rsidRPr="00485627">
              <w:rPr>
                <w:sz w:val="20"/>
                <w:szCs w:val="20"/>
              </w:rPr>
              <w:t>1.09</w:t>
            </w:r>
          </w:p>
        </w:tc>
        <w:tc>
          <w:tcPr>
            <w:tcW w:w="1026" w:type="dxa"/>
            <w:noWrap/>
            <w:hideMark/>
          </w:tcPr>
          <w:p w14:paraId="6D6B0E19" w14:textId="77777777" w:rsidR="00FD019C" w:rsidRPr="00485627" w:rsidRDefault="00FD019C" w:rsidP="000D3216">
            <w:pPr>
              <w:pStyle w:val="Legend"/>
              <w:spacing w:before="0" w:line="480" w:lineRule="auto"/>
              <w:jc w:val="center"/>
              <w:rPr>
                <w:sz w:val="20"/>
                <w:szCs w:val="20"/>
              </w:rPr>
            </w:pPr>
            <w:r w:rsidRPr="00485627">
              <w:rPr>
                <w:sz w:val="20"/>
                <w:szCs w:val="20"/>
              </w:rPr>
              <w:t>4.61E-01</w:t>
            </w:r>
          </w:p>
        </w:tc>
        <w:tc>
          <w:tcPr>
            <w:tcW w:w="855" w:type="dxa"/>
            <w:noWrap/>
            <w:hideMark/>
          </w:tcPr>
          <w:p w14:paraId="3F08C819" w14:textId="77777777" w:rsidR="00FD019C" w:rsidRPr="00485627" w:rsidRDefault="00FD019C" w:rsidP="000D3216">
            <w:pPr>
              <w:pStyle w:val="Legend"/>
              <w:spacing w:before="0" w:line="480" w:lineRule="auto"/>
              <w:jc w:val="center"/>
              <w:rPr>
                <w:sz w:val="20"/>
                <w:szCs w:val="20"/>
              </w:rPr>
            </w:pPr>
            <w:r w:rsidRPr="00485627">
              <w:rPr>
                <w:sz w:val="20"/>
                <w:szCs w:val="20"/>
              </w:rPr>
              <w:t>0.93</w:t>
            </w:r>
          </w:p>
        </w:tc>
        <w:tc>
          <w:tcPr>
            <w:tcW w:w="1193" w:type="dxa"/>
            <w:noWrap/>
            <w:hideMark/>
          </w:tcPr>
          <w:p w14:paraId="4EF13A07" w14:textId="77777777" w:rsidR="00FD019C" w:rsidRPr="00485627" w:rsidRDefault="00FD019C" w:rsidP="000D3216">
            <w:pPr>
              <w:pStyle w:val="Legend"/>
              <w:spacing w:before="0" w:line="480" w:lineRule="auto"/>
              <w:jc w:val="center"/>
              <w:rPr>
                <w:sz w:val="20"/>
                <w:szCs w:val="20"/>
              </w:rPr>
            </w:pPr>
            <w:r w:rsidRPr="00485627">
              <w:rPr>
                <w:sz w:val="20"/>
                <w:szCs w:val="20"/>
              </w:rPr>
              <w:t>6.33E-04</w:t>
            </w:r>
          </w:p>
        </w:tc>
        <w:tc>
          <w:tcPr>
            <w:tcW w:w="763" w:type="dxa"/>
            <w:noWrap/>
            <w:hideMark/>
          </w:tcPr>
          <w:p w14:paraId="174BFB4F" w14:textId="77777777" w:rsidR="00FD019C" w:rsidRPr="00485627" w:rsidRDefault="00FD019C" w:rsidP="000D3216">
            <w:pPr>
              <w:pStyle w:val="Legend"/>
              <w:spacing w:before="0" w:line="480" w:lineRule="auto"/>
              <w:jc w:val="center"/>
              <w:rPr>
                <w:sz w:val="20"/>
                <w:szCs w:val="20"/>
              </w:rPr>
            </w:pPr>
            <w:r w:rsidRPr="00485627">
              <w:rPr>
                <w:sz w:val="20"/>
                <w:szCs w:val="20"/>
              </w:rPr>
              <w:t>1.17</w:t>
            </w:r>
          </w:p>
        </w:tc>
        <w:tc>
          <w:tcPr>
            <w:tcW w:w="1408" w:type="dxa"/>
            <w:noWrap/>
            <w:hideMark/>
          </w:tcPr>
          <w:p w14:paraId="58F4B43A" w14:textId="77777777" w:rsidR="00FD019C" w:rsidRPr="00485627" w:rsidRDefault="00FD019C" w:rsidP="000D3216">
            <w:pPr>
              <w:pStyle w:val="Legend"/>
              <w:spacing w:before="0" w:line="480" w:lineRule="auto"/>
              <w:jc w:val="center"/>
              <w:rPr>
                <w:sz w:val="20"/>
                <w:szCs w:val="20"/>
              </w:rPr>
            </w:pPr>
            <w:r w:rsidRPr="00485627">
              <w:rPr>
                <w:sz w:val="20"/>
                <w:szCs w:val="20"/>
              </w:rPr>
              <w:t>Hypertension</w:t>
            </w:r>
          </w:p>
        </w:tc>
        <w:tc>
          <w:tcPr>
            <w:tcW w:w="1961" w:type="dxa"/>
            <w:noWrap/>
            <w:hideMark/>
          </w:tcPr>
          <w:p w14:paraId="3EB30D8E" w14:textId="77777777" w:rsidR="00FD019C" w:rsidRPr="00485627" w:rsidRDefault="00FD019C" w:rsidP="000D3216">
            <w:pPr>
              <w:pStyle w:val="Legend"/>
              <w:spacing w:before="0" w:line="480" w:lineRule="auto"/>
              <w:jc w:val="center"/>
              <w:rPr>
                <w:sz w:val="20"/>
                <w:szCs w:val="20"/>
              </w:rPr>
            </w:pPr>
            <w:r w:rsidRPr="00485627">
              <w:rPr>
                <w:sz w:val="20"/>
                <w:szCs w:val="20"/>
              </w:rPr>
              <w:t>Loperamide</w:t>
            </w:r>
          </w:p>
        </w:tc>
        <w:tc>
          <w:tcPr>
            <w:tcW w:w="1305" w:type="dxa"/>
            <w:noWrap/>
            <w:hideMark/>
          </w:tcPr>
          <w:p w14:paraId="761BDD6B" w14:textId="77777777" w:rsidR="00FD019C" w:rsidRPr="00485627" w:rsidRDefault="00FD019C" w:rsidP="000D3216">
            <w:pPr>
              <w:pStyle w:val="Legend"/>
              <w:spacing w:before="0" w:line="480" w:lineRule="auto"/>
              <w:jc w:val="center"/>
              <w:rPr>
                <w:sz w:val="20"/>
                <w:szCs w:val="20"/>
              </w:rPr>
            </w:pPr>
            <w:r w:rsidRPr="00485627">
              <w:rPr>
                <w:sz w:val="20"/>
                <w:szCs w:val="20"/>
              </w:rPr>
              <w:t>POMC</w:t>
            </w:r>
          </w:p>
        </w:tc>
        <w:tc>
          <w:tcPr>
            <w:tcW w:w="1302" w:type="dxa"/>
          </w:tcPr>
          <w:p w14:paraId="260A5419" w14:textId="77777777" w:rsidR="00FD019C" w:rsidRPr="00485627" w:rsidRDefault="00FD019C" w:rsidP="000D3216">
            <w:pPr>
              <w:pStyle w:val="Legend"/>
              <w:spacing w:before="0" w:line="480" w:lineRule="auto"/>
              <w:jc w:val="center"/>
              <w:rPr>
                <w:sz w:val="20"/>
                <w:szCs w:val="20"/>
              </w:rPr>
            </w:pPr>
            <w:r>
              <w:rPr>
                <w:sz w:val="20"/>
                <w:szCs w:val="20"/>
              </w:rPr>
              <w:t>Exp22</w:t>
            </w:r>
          </w:p>
        </w:tc>
      </w:tr>
      <w:tr w:rsidR="00FD019C" w:rsidRPr="00485627" w14:paraId="0BA3BA46" w14:textId="77777777" w:rsidTr="00ED1C8C">
        <w:trPr>
          <w:trHeight w:val="320"/>
        </w:trPr>
        <w:tc>
          <w:tcPr>
            <w:tcW w:w="622" w:type="dxa"/>
            <w:noWrap/>
            <w:hideMark/>
          </w:tcPr>
          <w:p w14:paraId="0F26EF96" w14:textId="77777777" w:rsidR="00FD019C" w:rsidRPr="00485627" w:rsidRDefault="00FD019C" w:rsidP="000D3216">
            <w:pPr>
              <w:pStyle w:val="Legend"/>
              <w:spacing w:before="0" w:line="480" w:lineRule="auto"/>
              <w:jc w:val="center"/>
              <w:rPr>
                <w:sz w:val="20"/>
                <w:szCs w:val="20"/>
              </w:rPr>
            </w:pPr>
            <w:r w:rsidRPr="00485627">
              <w:rPr>
                <w:sz w:val="20"/>
                <w:szCs w:val="20"/>
              </w:rPr>
              <w:t>1.00</w:t>
            </w:r>
          </w:p>
        </w:tc>
        <w:tc>
          <w:tcPr>
            <w:tcW w:w="1026" w:type="dxa"/>
            <w:noWrap/>
            <w:hideMark/>
          </w:tcPr>
          <w:p w14:paraId="63C1F760" w14:textId="77777777" w:rsidR="00FD019C" w:rsidRPr="00485627" w:rsidRDefault="00FD019C" w:rsidP="000D3216">
            <w:pPr>
              <w:pStyle w:val="Legend"/>
              <w:spacing w:before="0" w:line="480" w:lineRule="auto"/>
              <w:jc w:val="center"/>
              <w:rPr>
                <w:sz w:val="20"/>
                <w:szCs w:val="20"/>
              </w:rPr>
            </w:pPr>
            <w:r w:rsidRPr="00485627">
              <w:rPr>
                <w:sz w:val="20"/>
                <w:szCs w:val="20"/>
              </w:rPr>
              <w:t>1.00E+00</w:t>
            </w:r>
          </w:p>
        </w:tc>
        <w:tc>
          <w:tcPr>
            <w:tcW w:w="855" w:type="dxa"/>
            <w:noWrap/>
            <w:hideMark/>
          </w:tcPr>
          <w:p w14:paraId="233C0C52" w14:textId="77777777" w:rsidR="00FD019C" w:rsidRPr="00485627" w:rsidRDefault="00FD019C" w:rsidP="000D3216">
            <w:pPr>
              <w:pStyle w:val="Legend"/>
              <w:spacing w:before="0" w:line="480" w:lineRule="auto"/>
              <w:jc w:val="center"/>
              <w:rPr>
                <w:sz w:val="20"/>
                <w:szCs w:val="20"/>
              </w:rPr>
            </w:pPr>
            <w:r w:rsidRPr="00485627">
              <w:rPr>
                <w:sz w:val="20"/>
                <w:szCs w:val="20"/>
              </w:rPr>
              <w:t>0.88</w:t>
            </w:r>
          </w:p>
        </w:tc>
        <w:tc>
          <w:tcPr>
            <w:tcW w:w="1193" w:type="dxa"/>
            <w:noWrap/>
            <w:hideMark/>
          </w:tcPr>
          <w:p w14:paraId="51B17596" w14:textId="77777777" w:rsidR="00FD019C" w:rsidRPr="00485627" w:rsidRDefault="00FD019C" w:rsidP="000D3216">
            <w:pPr>
              <w:pStyle w:val="Legend"/>
              <w:spacing w:before="0" w:line="480" w:lineRule="auto"/>
              <w:jc w:val="center"/>
              <w:rPr>
                <w:sz w:val="20"/>
                <w:szCs w:val="20"/>
              </w:rPr>
            </w:pPr>
            <w:r w:rsidRPr="00485627">
              <w:rPr>
                <w:sz w:val="20"/>
                <w:szCs w:val="20"/>
              </w:rPr>
              <w:t>6.65E-02</w:t>
            </w:r>
          </w:p>
        </w:tc>
        <w:tc>
          <w:tcPr>
            <w:tcW w:w="763" w:type="dxa"/>
            <w:noWrap/>
            <w:hideMark/>
          </w:tcPr>
          <w:p w14:paraId="1FF8E67E" w14:textId="77777777" w:rsidR="00FD019C" w:rsidRPr="00485627" w:rsidRDefault="00FD019C" w:rsidP="000D3216">
            <w:pPr>
              <w:pStyle w:val="Legend"/>
              <w:spacing w:before="0" w:line="480" w:lineRule="auto"/>
              <w:jc w:val="center"/>
              <w:rPr>
                <w:sz w:val="20"/>
                <w:szCs w:val="20"/>
              </w:rPr>
            </w:pPr>
            <w:r w:rsidRPr="00485627">
              <w:rPr>
                <w:sz w:val="20"/>
                <w:szCs w:val="20"/>
              </w:rPr>
              <w:t>1.14</w:t>
            </w:r>
          </w:p>
        </w:tc>
        <w:tc>
          <w:tcPr>
            <w:tcW w:w="1408" w:type="dxa"/>
            <w:noWrap/>
            <w:hideMark/>
          </w:tcPr>
          <w:p w14:paraId="2AAF31F0" w14:textId="77777777" w:rsidR="00FD019C" w:rsidRPr="00485627" w:rsidRDefault="00FD019C" w:rsidP="000D3216">
            <w:pPr>
              <w:pStyle w:val="Legend"/>
              <w:spacing w:before="0" w:line="480" w:lineRule="auto"/>
              <w:jc w:val="center"/>
              <w:rPr>
                <w:sz w:val="20"/>
                <w:szCs w:val="20"/>
              </w:rPr>
            </w:pPr>
            <w:r w:rsidRPr="00485627">
              <w:rPr>
                <w:sz w:val="20"/>
                <w:szCs w:val="20"/>
              </w:rPr>
              <w:t>Pancreatitis</w:t>
            </w:r>
          </w:p>
        </w:tc>
        <w:tc>
          <w:tcPr>
            <w:tcW w:w="1961" w:type="dxa"/>
            <w:noWrap/>
            <w:hideMark/>
          </w:tcPr>
          <w:p w14:paraId="1E1B8694" w14:textId="77777777" w:rsidR="00FD019C" w:rsidRPr="00485627" w:rsidRDefault="00FD019C" w:rsidP="000D3216">
            <w:pPr>
              <w:pStyle w:val="Legend"/>
              <w:spacing w:before="0" w:line="480" w:lineRule="auto"/>
              <w:jc w:val="center"/>
              <w:rPr>
                <w:sz w:val="20"/>
                <w:szCs w:val="20"/>
              </w:rPr>
            </w:pPr>
            <w:r w:rsidRPr="00485627">
              <w:rPr>
                <w:sz w:val="20"/>
                <w:szCs w:val="20"/>
              </w:rPr>
              <w:t>Sucralfate</w:t>
            </w:r>
          </w:p>
        </w:tc>
        <w:tc>
          <w:tcPr>
            <w:tcW w:w="1305" w:type="dxa"/>
            <w:noWrap/>
            <w:hideMark/>
          </w:tcPr>
          <w:p w14:paraId="21068CB2" w14:textId="77777777" w:rsidR="00FD019C" w:rsidRPr="00485627" w:rsidRDefault="00FD019C" w:rsidP="000D3216">
            <w:pPr>
              <w:pStyle w:val="Legend"/>
              <w:spacing w:before="0" w:line="480" w:lineRule="auto"/>
              <w:jc w:val="center"/>
              <w:rPr>
                <w:sz w:val="20"/>
                <w:szCs w:val="20"/>
              </w:rPr>
            </w:pPr>
            <w:r w:rsidRPr="00485627">
              <w:rPr>
                <w:sz w:val="20"/>
                <w:szCs w:val="20"/>
              </w:rPr>
              <w:t>EGF</w:t>
            </w:r>
          </w:p>
        </w:tc>
        <w:tc>
          <w:tcPr>
            <w:tcW w:w="1302" w:type="dxa"/>
          </w:tcPr>
          <w:p w14:paraId="13505398" w14:textId="77777777" w:rsidR="00FD019C" w:rsidRPr="00485627" w:rsidRDefault="00FD019C" w:rsidP="000D3216">
            <w:pPr>
              <w:pStyle w:val="Legend"/>
              <w:spacing w:before="0" w:line="480" w:lineRule="auto"/>
              <w:jc w:val="center"/>
              <w:rPr>
                <w:sz w:val="20"/>
                <w:szCs w:val="20"/>
              </w:rPr>
            </w:pPr>
            <w:r>
              <w:rPr>
                <w:sz w:val="20"/>
                <w:szCs w:val="20"/>
              </w:rPr>
              <w:t>Exp35</w:t>
            </w:r>
          </w:p>
        </w:tc>
      </w:tr>
      <w:tr w:rsidR="00FD019C" w:rsidRPr="00485627" w14:paraId="114F4A29" w14:textId="77777777" w:rsidTr="00ED1C8C">
        <w:trPr>
          <w:trHeight w:val="320"/>
        </w:trPr>
        <w:tc>
          <w:tcPr>
            <w:tcW w:w="622" w:type="dxa"/>
            <w:noWrap/>
            <w:hideMark/>
          </w:tcPr>
          <w:p w14:paraId="6EAC7824" w14:textId="77777777" w:rsidR="00FD019C" w:rsidRPr="00485627" w:rsidRDefault="00FD019C" w:rsidP="000D3216">
            <w:pPr>
              <w:pStyle w:val="Legend"/>
              <w:spacing w:before="0" w:line="480" w:lineRule="auto"/>
              <w:jc w:val="center"/>
              <w:rPr>
                <w:sz w:val="20"/>
                <w:szCs w:val="20"/>
              </w:rPr>
            </w:pPr>
            <w:r w:rsidRPr="00485627">
              <w:rPr>
                <w:sz w:val="20"/>
                <w:szCs w:val="20"/>
              </w:rPr>
              <w:t>1.17</w:t>
            </w:r>
          </w:p>
        </w:tc>
        <w:tc>
          <w:tcPr>
            <w:tcW w:w="1026" w:type="dxa"/>
            <w:noWrap/>
            <w:hideMark/>
          </w:tcPr>
          <w:p w14:paraId="6989DD35" w14:textId="77777777" w:rsidR="00FD019C" w:rsidRPr="00485627" w:rsidRDefault="00FD019C" w:rsidP="000D3216">
            <w:pPr>
              <w:pStyle w:val="Legend"/>
              <w:spacing w:before="0" w:line="480" w:lineRule="auto"/>
              <w:jc w:val="center"/>
              <w:rPr>
                <w:sz w:val="20"/>
                <w:szCs w:val="20"/>
              </w:rPr>
            </w:pPr>
            <w:r w:rsidRPr="00485627">
              <w:rPr>
                <w:sz w:val="20"/>
                <w:szCs w:val="20"/>
              </w:rPr>
              <w:t>2.86E-03</w:t>
            </w:r>
          </w:p>
        </w:tc>
        <w:tc>
          <w:tcPr>
            <w:tcW w:w="855" w:type="dxa"/>
            <w:noWrap/>
            <w:hideMark/>
          </w:tcPr>
          <w:p w14:paraId="68F83C41" w14:textId="77777777" w:rsidR="00FD019C" w:rsidRPr="00485627" w:rsidRDefault="00FD019C" w:rsidP="000D3216">
            <w:pPr>
              <w:pStyle w:val="Legend"/>
              <w:spacing w:before="0" w:line="480" w:lineRule="auto"/>
              <w:jc w:val="center"/>
              <w:rPr>
                <w:sz w:val="20"/>
                <w:szCs w:val="20"/>
              </w:rPr>
            </w:pPr>
            <w:r w:rsidRPr="00485627">
              <w:rPr>
                <w:sz w:val="20"/>
                <w:szCs w:val="20"/>
              </w:rPr>
              <w:t>1.15</w:t>
            </w:r>
          </w:p>
        </w:tc>
        <w:tc>
          <w:tcPr>
            <w:tcW w:w="1193" w:type="dxa"/>
            <w:noWrap/>
            <w:hideMark/>
          </w:tcPr>
          <w:p w14:paraId="162C6913" w14:textId="77777777" w:rsidR="00FD019C" w:rsidRPr="00485627" w:rsidRDefault="00FD019C" w:rsidP="000D3216">
            <w:pPr>
              <w:pStyle w:val="Legend"/>
              <w:spacing w:before="0" w:line="480" w:lineRule="auto"/>
              <w:jc w:val="center"/>
              <w:rPr>
                <w:sz w:val="20"/>
                <w:szCs w:val="20"/>
              </w:rPr>
            </w:pPr>
            <w:r w:rsidRPr="00485627">
              <w:rPr>
                <w:sz w:val="20"/>
                <w:szCs w:val="20"/>
              </w:rPr>
              <w:t>9.72E-13</w:t>
            </w:r>
          </w:p>
        </w:tc>
        <w:tc>
          <w:tcPr>
            <w:tcW w:w="763" w:type="dxa"/>
            <w:noWrap/>
            <w:hideMark/>
          </w:tcPr>
          <w:p w14:paraId="40C7C11D" w14:textId="77777777" w:rsidR="00FD019C" w:rsidRPr="00485627" w:rsidRDefault="00FD019C" w:rsidP="000D3216">
            <w:pPr>
              <w:pStyle w:val="Legend"/>
              <w:spacing w:before="0" w:line="480" w:lineRule="auto"/>
              <w:jc w:val="center"/>
              <w:rPr>
                <w:sz w:val="20"/>
                <w:szCs w:val="20"/>
              </w:rPr>
            </w:pPr>
            <w:r w:rsidRPr="00485627">
              <w:rPr>
                <w:sz w:val="20"/>
                <w:szCs w:val="20"/>
              </w:rPr>
              <w:t>1.01</w:t>
            </w:r>
          </w:p>
        </w:tc>
        <w:tc>
          <w:tcPr>
            <w:tcW w:w="1408" w:type="dxa"/>
            <w:noWrap/>
            <w:hideMark/>
          </w:tcPr>
          <w:p w14:paraId="4A484CC0" w14:textId="77777777" w:rsidR="00FD019C" w:rsidRPr="00485627" w:rsidRDefault="00FD019C" w:rsidP="000D3216">
            <w:pPr>
              <w:pStyle w:val="Legend"/>
              <w:spacing w:before="0" w:line="480" w:lineRule="auto"/>
              <w:jc w:val="center"/>
              <w:rPr>
                <w:sz w:val="20"/>
                <w:szCs w:val="20"/>
              </w:rPr>
            </w:pPr>
            <w:r w:rsidRPr="00485627">
              <w:rPr>
                <w:sz w:val="20"/>
                <w:szCs w:val="20"/>
              </w:rPr>
              <w:t>Hypertension</w:t>
            </w:r>
          </w:p>
        </w:tc>
        <w:tc>
          <w:tcPr>
            <w:tcW w:w="1961" w:type="dxa"/>
            <w:noWrap/>
            <w:hideMark/>
          </w:tcPr>
          <w:p w14:paraId="52B54C13" w14:textId="77777777" w:rsidR="00FD019C" w:rsidRPr="00485627" w:rsidRDefault="00FD019C" w:rsidP="000D3216">
            <w:pPr>
              <w:pStyle w:val="Legend"/>
              <w:spacing w:before="0" w:line="480" w:lineRule="auto"/>
              <w:jc w:val="center"/>
              <w:rPr>
                <w:sz w:val="20"/>
                <w:szCs w:val="20"/>
              </w:rPr>
            </w:pPr>
            <w:r w:rsidRPr="00485627">
              <w:rPr>
                <w:sz w:val="20"/>
                <w:szCs w:val="20"/>
              </w:rPr>
              <w:t>Sucralfate</w:t>
            </w:r>
          </w:p>
        </w:tc>
        <w:tc>
          <w:tcPr>
            <w:tcW w:w="1305" w:type="dxa"/>
            <w:noWrap/>
            <w:hideMark/>
          </w:tcPr>
          <w:p w14:paraId="10344514" w14:textId="77777777" w:rsidR="00FD019C" w:rsidRPr="00485627" w:rsidRDefault="00FD019C" w:rsidP="000D3216">
            <w:pPr>
              <w:pStyle w:val="Legend"/>
              <w:spacing w:before="0" w:line="480" w:lineRule="auto"/>
              <w:jc w:val="center"/>
              <w:rPr>
                <w:sz w:val="20"/>
                <w:szCs w:val="20"/>
              </w:rPr>
            </w:pPr>
            <w:r w:rsidRPr="00485627">
              <w:rPr>
                <w:sz w:val="20"/>
                <w:szCs w:val="20"/>
              </w:rPr>
              <w:t>EGF</w:t>
            </w:r>
          </w:p>
        </w:tc>
        <w:tc>
          <w:tcPr>
            <w:tcW w:w="1302" w:type="dxa"/>
          </w:tcPr>
          <w:p w14:paraId="404AD161" w14:textId="77777777" w:rsidR="00FD019C" w:rsidRPr="00485627" w:rsidRDefault="00FD019C" w:rsidP="000D3216">
            <w:pPr>
              <w:pStyle w:val="Legend"/>
              <w:spacing w:before="0" w:line="480" w:lineRule="auto"/>
              <w:jc w:val="center"/>
              <w:rPr>
                <w:sz w:val="20"/>
                <w:szCs w:val="20"/>
              </w:rPr>
            </w:pPr>
            <w:r>
              <w:rPr>
                <w:sz w:val="20"/>
                <w:szCs w:val="20"/>
              </w:rPr>
              <w:t>Exp17</w:t>
            </w:r>
          </w:p>
        </w:tc>
      </w:tr>
      <w:tr w:rsidR="00FD019C" w:rsidRPr="00485627" w14:paraId="7E35A7A0" w14:textId="77777777" w:rsidTr="00ED1C8C">
        <w:trPr>
          <w:trHeight w:val="320"/>
        </w:trPr>
        <w:tc>
          <w:tcPr>
            <w:tcW w:w="622" w:type="dxa"/>
            <w:noWrap/>
            <w:hideMark/>
          </w:tcPr>
          <w:p w14:paraId="29DCCB28" w14:textId="77777777" w:rsidR="00FD019C" w:rsidRPr="00485627" w:rsidRDefault="00FD019C" w:rsidP="000D3216">
            <w:pPr>
              <w:pStyle w:val="Legend"/>
              <w:spacing w:before="0" w:line="480" w:lineRule="auto"/>
              <w:jc w:val="center"/>
              <w:rPr>
                <w:sz w:val="20"/>
                <w:szCs w:val="20"/>
              </w:rPr>
            </w:pPr>
            <w:r w:rsidRPr="00485627">
              <w:rPr>
                <w:sz w:val="20"/>
                <w:szCs w:val="20"/>
              </w:rPr>
              <w:t>1.13</w:t>
            </w:r>
          </w:p>
        </w:tc>
        <w:tc>
          <w:tcPr>
            <w:tcW w:w="1026" w:type="dxa"/>
            <w:noWrap/>
            <w:hideMark/>
          </w:tcPr>
          <w:p w14:paraId="166A8338" w14:textId="77777777" w:rsidR="00FD019C" w:rsidRPr="00485627" w:rsidRDefault="00FD019C" w:rsidP="000D3216">
            <w:pPr>
              <w:pStyle w:val="Legend"/>
              <w:spacing w:before="0" w:line="480" w:lineRule="auto"/>
              <w:jc w:val="center"/>
              <w:rPr>
                <w:sz w:val="20"/>
                <w:szCs w:val="20"/>
              </w:rPr>
            </w:pPr>
            <w:r w:rsidRPr="00485627">
              <w:rPr>
                <w:sz w:val="20"/>
                <w:szCs w:val="20"/>
              </w:rPr>
              <w:t>1.29E-02</w:t>
            </w:r>
          </w:p>
        </w:tc>
        <w:tc>
          <w:tcPr>
            <w:tcW w:w="855" w:type="dxa"/>
            <w:noWrap/>
            <w:hideMark/>
          </w:tcPr>
          <w:p w14:paraId="0F38ABFA" w14:textId="77777777" w:rsidR="00FD019C" w:rsidRPr="00485627" w:rsidRDefault="00FD019C" w:rsidP="000D3216">
            <w:pPr>
              <w:pStyle w:val="Legend"/>
              <w:spacing w:before="0" w:line="480" w:lineRule="auto"/>
              <w:jc w:val="center"/>
              <w:rPr>
                <w:sz w:val="20"/>
                <w:szCs w:val="20"/>
              </w:rPr>
            </w:pPr>
            <w:r w:rsidRPr="00485627">
              <w:rPr>
                <w:sz w:val="20"/>
                <w:szCs w:val="20"/>
              </w:rPr>
              <w:t>1.12</w:t>
            </w:r>
          </w:p>
        </w:tc>
        <w:tc>
          <w:tcPr>
            <w:tcW w:w="1193" w:type="dxa"/>
            <w:noWrap/>
            <w:hideMark/>
          </w:tcPr>
          <w:p w14:paraId="0C2A44E1" w14:textId="77777777" w:rsidR="00FD019C" w:rsidRPr="00485627" w:rsidRDefault="00FD019C" w:rsidP="000D3216">
            <w:pPr>
              <w:pStyle w:val="Legend"/>
              <w:spacing w:before="0" w:line="480" w:lineRule="auto"/>
              <w:jc w:val="center"/>
              <w:rPr>
                <w:sz w:val="20"/>
                <w:szCs w:val="20"/>
              </w:rPr>
            </w:pPr>
            <w:r w:rsidRPr="00485627">
              <w:rPr>
                <w:sz w:val="20"/>
                <w:szCs w:val="20"/>
              </w:rPr>
              <w:t>1.48E-12</w:t>
            </w:r>
          </w:p>
        </w:tc>
        <w:tc>
          <w:tcPr>
            <w:tcW w:w="763" w:type="dxa"/>
            <w:noWrap/>
            <w:hideMark/>
          </w:tcPr>
          <w:p w14:paraId="4CA121E9" w14:textId="77777777" w:rsidR="00FD019C" w:rsidRPr="00485627" w:rsidRDefault="00FD019C" w:rsidP="000D3216">
            <w:pPr>
              <w:pStyle w:val="Legend"/>
              <w:spacing w:before="0" w:line="480" w:lineRule="auto"/>
              <w:jc w:val="center"/>
              <w:rPr>
                <w:sz w:val="20"/>
                <w:szCs w:val="20"/>
              </w:rPr>
            </w:pPr>
            <w:r w:rsidRPr="00485627">
              <w:rPr>
                <w:sz w:val="20"/>
                <w:szCs w:val="20"/>
              </w:rPr>
              <w:t>1.01</w:t>
            </w:r>
          </w:p>
        </w:tc>
        <w:tc>
          <w:tcPr>
            <w:tcW w:w="1408" w:type="dxa"/>
            <w:noWrap/>
            <w:hideMark/>
          </w:tcPr>
          <w:p w14:paraId="5C9ECDFF" w14:textId="77777777" w:rsidR="00FD019C" w:rsidRPr="00485627" w:rsidRDefault="00FD019C" w:rsidP="000D3216">
            <w:pPr>
              <w:pStyle w:val="Legend"/>
              <w:spacing w:before="0" w:line="480" w:lineRule="auto"/>
              <w:jc w:val="center"/>
              <w:rPr>
                <w:sz w:val="20"/>
                <w:szCs w:val="20"/>
              </w:rPr>
            </w:pPr>
            <w:r w:rsidRPr="00485627">
              <w:rPr>
                <w:sz w:val="20"/>
                <w:szCs w:val="20"/>
              </w:rPr>
              <w:t>Edema</w:t>
            </w:r>
          </w:p>
        </w:tc>
        <w:tc>
          <w:tcPr>
            <w:tcW w:w="1961" w:type="dxa"/>
            <w:noWrap/>
            <w:hideMark/>
          </w:tcPr>
          <w:p w14:paraId="53518E1F" w14:textId="77777777" w:rsidR="00FD019C" w:rsidRPr="00485627" w:rsidRDefault="00FD019C" w:rsidP="000D3216">
            <w:pPr>
              <w:pStyle w:val="Legend"/>
              <w:spacing w:before="0" w:line="480" w:lineRule="auto"/>
              <w:jc w:val="center"/>
              <w:rPr>
                <w:sz w:val="20"/>
                <w:szCs w:val="20"/>
              </w:rPr>
            </w:pPr>
            <w:proofErr w:type="spellStart"/>
            <w:r w:rsidRPr="00485627">
              <w:rPr>
                <w:sz w:val="20"/>
                <w:szCs w:val="20"/>
              </w:rPr>
              <w:t>Aliskiren</w:t>
            </w:r>
            <w:proofErr w:type="spellEnd"/>
          </w:p>
        </w:tc>
        <w:tc>
          <w:tcPr>
            <w:tcW w:w="1305" w:type="dxa"/>
            <w:noWrap/>
            <w:hideMark/>
          </w:tcPr>
          <w:p w14:paraId="7AC616F8" w14:textId="77777777" w:rsidR="00FD019C" w:rsidRPr="00485627" w:rsidRDefault="00FD019C" w:rsidP="000D3216">
            <w:pPr>
              <w:pStyle w:val="Legend"/>
              <w:spacing w:before="0" w:line="480" w:lineRule="auto"/>
              <w:jc w:val="center"/>
              <w:rPr>
                <w:sz w:val="20"/>
                <w:szCs w:val="20"/>
              </w:rPr>
            </w:pPr>
            <w:r w:rsidRPr="00485627">
              <w:rPr>
                <w:sz w:val="20"/>
                <w:szCs w:val="20"/>
              </w:rPr>
              <w:t>REN</w:t>
            </w:r>
          </w:p>
        </w:tc>
        <w:tc>
          <w:tcPr>
            <w:tcW w:w="1302" w:type="dxa"/>
          </w:tcPr>
          <w:p w14:paraId="1C6C34E3" w14:textId="77777777" w:rsidR="00FD019C" w:rsidRPr="00485627" w:rsidRDefault="00FD019C" w:rsidP="000D3216">
            <w:pPr>
              <w:pStyle w:val="Legend"/>
              <w:spacing w:before="0" w:line="480" w:lineRule="auto"/>
              <w:jc w:val="center"/>
              <w:rPr>
                <w:sz w:val="20"/>
                <w:szCs w:val="20"/>
              </w:rPr>
            </w:pPr>
            <w:r>
              <w:rPr>
                <w:sz w:val="20"/>
                <w:szCs w:val="20"/>
              </w:rPr>
              <w:t>Exp2</w:t>
            </w:r>
          </w:p>
        </w:tc>
      </w:tr>
      <w:tr w:rsidR="00FD019C" w:rsidRPr="00485627" w14:paraId="40D1B929" w14:textId="77777777" w:rsidTr="00ED1C8C">
        <w:trPr>
          <w:trHeight w:val="320"/>
        </w:trPr>
        <w:tc>
          <w:tcPr>
            <w:tcW w:w="622" w:type="dxa"/>
            <w:noWrap/>
            <w:hideMark/>
          </w:tcPr>
          <w:p w14:paraId="6B6CAA0C" w14:textId="77777777" w:rsidR="00FD019C" w:rsidRPr="00485627" w:rsidRDefault="00FD019C" w:rsidP="000D3216">
            <w:pPr>
              <w:pStyle w:val="Legend"/>
              <w:spacing w:before="0" w:line="480" w:lineRule="auto"/>
              <w:jc w:val="center"/>
              <w:rPr>
                <w:sz w:val="20"/>
                <w:szCs w:val="20"/>
              </w:rPr>
            </w:pPr>
            <w:r w:rsidRPr="00485627">
              <w:rPr>
                <w:sz w:val="20"/>
                <w:szCs w:val="20"/>
              </w:rPr>
              <w:t>1.00</w:t>
            </w:r>
          </w:p>
        </w:tc>
        <w:tc>
          <w:tcPr>
            <w:tcW w:w="1026" w:type="dxa"/>
            <w:noWrap/>
            <w:hideMark/>
          </w:tcPr>
          <w:p w14:paraId="42C47131" w14:textId="77777777" w:rsidR="00FD019C" w:rsidRPr="00485627" w:rsidRDefault="00FD019C" w:rsidP="000D3216">
            <w:pPr>
              <w:pStyle w:val="Legend"/>
              <w:spacing w:before="0" w:line="480" w:lineRule="auto"/>
              <w:jc w:val="center"/>
              <w:rPr>
                <w:sz w:val="20"/>
                <w:szCs w:val="20"/>
              </w:rPr>
            </w:pPr>
            <w:r w:rsidRPr="00485627">
              <w:rPr>
                <w:sz w:val="20"/>
                <w:szCs w:val="20"/>
              </w:rPr>
              <w:t>1.00E+00</w:t>
            </w:r>
          </w:p>
        </w:tc>
        <w:tc>
          <w:tcPr>
            <w:tcW w:w="855" w:type="dxa"/>
            <w:noWrap/>
            <w:hideMark/>
          </w:tcPr>
          <w:p w14:paraId="05372EC2" w14:textId="77777777" w:rsidR="00FD019C" w:rsidRPr="00485627" w:rsidRDefault="00FD019C" w:rsidP="000D3216">
            <w:pPr>
              <w:pStyle w:val="Legend"/>
              <w:spacing w:before="0" w:line="480" w:lineRule="auto"/>
              <w:jc w:val="center"/>
              <w:rPr>
                <w:sz w:val="20"/>
                <w:szCs w:val="20"/>
              </w:rPr>
            </w:pPr>
            <w:r w:rsidRPr="00485627">
              <w:rPr>
                <w:sz w:val="20"/>
                <w:szCs w:val="20"/>
              </w:rPr>
              <w:t>1.02</w:t>
            </w:r>
          </w:p>
        </w:tc>
        <w:tc>
          <w:tcPr>
            <w:tcW w:w="1193" w:type="dxa"/>
            <w:noWrap/>
            <w:hideMark/>
          </w:tcPr>
          <w:p w14:paraId="310986AB" w14:textId="77777777" w:rsidR="00FD019C" w:rsidRPr="00485627" w:rsidRDefault="00FD019C" w:rsidP="000D3216">
            <w:pPr>
              <w:pStyle w:val="Legend"/>
              <w:spacing w:before="0" w:line="480" w:lineRule="auto"/>
              <w:jc w:val="center"/>
              <w:rPr>
                <w:sz w:val="20"/>
                <w:szCs w:val="20"/>
              </w:rPr>
            </w:pPr>
            <w:r w:rsidRPr="00485627">
              <w:rPr>
                <w:sz w:val="20"/>
                <w:szCs w:val="20"/>
              </w:rPr>
              <w:t>6.74E-01</w:t>
            </w:r>
          </w:p>
        </w:tc>
        <w:tc>
          <w:tcPr>
            <w:tcW w:w="763" w:type="dxa"/>
            <w:noWrap/>
            <w:hideMark/>
          </w:tcPr>
          <w:p w14:paraId="55801ED1" w14:textId="77777777" w:rsidR="00FD019C" w:rsidRPr="00485627" w:rsidRDefault="00FD019C" w:rsidP="000D3216">
            <w:pPr>
              <w:pStyle w:val="Legend"/>
              <w:spacing w:before="0" w:line="480" w:lineRule="auto"/>
              <w:jc w:val="center"/>
              <w:rPr>
                <w:sz w:val="20"/>
                <w:szCs w:val="20"/>
              </w:rPr>
            </w:pPr>
            <w:r w:rsidRPr="00485627">
              <w:rPr>
                <w:sz w:val="20"/>
                <w:szCs w:val="20"/>
              </w:rPr>
              <w:t>0.98</w:t>
            </w:r>
          </w:p>
        </w:tc>
        <w:tc>
          <w:tcPr>
            <w:tcW w:w="1408" w:type="dxa"/>
            <w:noWrap/>
            <w:hideMark/>
          </w:tcPr>
          <w:p w14:paraId="2F2B29D1" w14:textId="77777777" w:rsidR="00FD019C" w:rsidRPr="00485627" w:rsidRDefault="00FD019C" w:rsidP="000D3216">
            <w:pPr>
              <w:pStyle w:val="Legend"/>
              <w:spacing w:before="0" w:line="480" w:lineRule="auto"/>
              <w:jc w:val="center"/>
              <w:rPr>
                <w:sz w:val="20"/>
                <w:szCs w:val="20"/>
              </w:rPr>
            </w:pPr>
            <w:r w:rsidRPr="00485627">
              <w:rPr>
                <w:sz w:val="20"/>
                <w:szCs w:val="20"/>
              </w:rPr>
              <w:t>Myopathy</w:t>
            </w:r>
          </w:p>
        </w:tc>
        <w:tc>
          <w:tcPr>
            <w:tcW w:w="1961" w:type="dxa"/>
            <w:noWrap/>
            <w:hideMark/>
          </w:tcPr>
          <w:p w14:paraId="25F0145D" w14:textId="77777777" w:rsidR="00FD019C" w:rsidRPr="00485627" w:rsidRDefault="00FD019C" w:rsidP="000D3216">
            <w:pPr>
              <w:pStyle w:val="Legend"/>
              <w:spacing w:before="0" w:line="480" w:lineRule="auto"/>
              <w:jc w:val="center"/>
              <w:rPr>
                <w:sz w:val="20"/>
                <w:szCs w:val="20"/>
              </w:rPr>
            </w:pPr>
            <w:r w:rsidRPr="00485627">
              <w:rPr>
                <w:sz w:val="20"/>
                <w:szCs w:val="20"/>
              </w:rPr>
              <w:t>Sucralfate</w:t>
            </w:r>
          </w:p>
        </w:tc>
        <w:tc>
          <w:tcPr>
            <w:tcW w:w="1305" w:type="dxa"/>
            <w:noWrap/>
            <w:hideMark/>
          </w:tcPr>
          <w:p w14:paraId="0649FAAC" w14:textId="77777777" w:rsidR="00FD019C" w:rsidRPr="00485627" w:rsidRDefault="00FD019C" w:rsidP="000D3216">
            <w:pPr>
              <w:pStyle w:val="Legend"/>
              <w:spacing w:before="0" w:line="480" w:lineRule="auto"/>
              <w:jc w:val="center"/>
              <w:rPr>
                <w:sz w:val="20"/>
                <w:szCs w:val="20"/>
              </w:rPr>
            </w:pPr>
            <w:r w:rsidRPr="00485627">
              <w:rPr>
                <w:sz w:val="20"/>
                <w:szCs w:val="20"/>
              </w:rPr>
              <w:t>EGF</w:t>
            </w:r>
          </w:p>
        </w:tc>
        <w:tc>
          <w:tcPr>
            <w:tcW w:w="1302" w:type="dxa"/>
          </w:tcPr>
          <w:p w14:paraId="5F224584" w14:textId="77777777" w:rsidR="00FD019C" w:rsidRPr="00485627" w:rsidRDefault="00FD019C" w:rsidP="000D3216">
            <w:pPr>
              <w:pStyle w:val="Legend"/>
              <w:spacing w:before="0" w:line="480" w:lineRule="auto"/>
              <w:jc w:val="center"/>
              <w:rPr>
                <w:sz w:val="20"/>
                <w:szCs w:val="20"/>
              </w:rPr>
            </w:pPr>
            <w:r>
              <w:rPr>
                <w:sz w:val="20"/>
                <w:szCs w:val="20"/>
              </w:rPr>
              <w:t>Exp29</w:t>
            </w:r>
          </w:p>
        </w:tc>
      </w:tr>
      <w:tr w:rsidR="00FD019C" w:rsidRPr="00485627" w14:paraId="4F897F1A" w14:textId="77777777" w:rsidTr="00ED1C8C">
        <w:trPr>
          <w:trHeight w:val="320"/>
        </w:trPr>
        <w:tc>
          <w:tcPr>
            <w:tcW w:w="622" w:type="dxa"/>
            <w:noWrap/>
            <w:hideMark/>
          </w:tcPr>
          <w:p w14:paraId="48B93C6D" w14:textId="77777777" w:rsidR="00FD019C" w:rsidRPr="00485627" w:rsidRDefault="00FD019C" w:rsidP="000D3216">
            <w:pPr>
              <w:pStyle w:val="Legend"/>
              <w:spacing w:before="0" w:line="480" w:lineRule="auto"/>
              <w:jc w:val="center"/>
              <w:rPr>
                <w:sz w:val="20"/>
                <w:szCs w:val="20"/>
              </w:rPr>
            </w:pPr>
            <w:r w:rsidRPr="00485627">
              <w:rPr>
                <w:sz w:val="20"/>
                <w:szCs w:val="20"/>
              </w:rPr>
              <w:t>1.08</w:t>
            </w:r>
          </w:p>
        </w:tc>
        <w:tc>
          <w:tcPr>
            <w:tcW w:w="1026" w:type="dxa"/>
            <w:noWrap/>
            <w:hideMark/>
          </w:tcPr>
          <w:p w14:paraId="054FF5F9" w14:textId="77777777" w:rsidR="00FD019C" w:rsidRPr="00485627" w:rsidRDefault="00FD019C" w:rsidP="000D3216">
            <w:pPr>
              <w:pStyle w:val="Legend"/>
              <w:spacing w:before="0" w:line="480" w:lineRule="auto"/>
              <w:jc w:val="center"/>
              <w:rPr>
                <w:sz w:val="20"/>
                <w:szCs w:val="20"/>
              </w:rPr>
            </w:pPr>
            <w:r w:rsidRPr="00485627">
              <w:rPr>
                <w:sz w:val="20"/>
                <w:szCs w:val="20"/>
              </w:rPr>
              <w:t>6.94E-01</w:t>
            </w:r>
          </w:p>
        </w:tc>
        <w:tc>
          <w:tcPr>
            <w:tcW w:w="855" w:type="dxa"/>
            <w:noWrap/>
            <w:hideMark/>
          </w:tcPr>
          <w:p w14:paraId="679BF2CC" w14:textId="77777777" w:rsidR="00FD019C" w:rsidRPr="00485627" w:rsidRDefault="00FD019C" w:rsidP="000D3216">
            <w:pPr>
              <w:pStyle w:val="Legend"/>
              <w:spacing w:before="0" w:line="480" w:lineRule="auto"/>
              <w:jc w:val="center"/>
              <w:rPr>
                <w:sz w:val="20"/>
                <w:szCs w:val="20"/>
              </w:rPr>
            </w:pPr>
            <w:r w:rsidRPr="00485627">
              <w:rPr>
                <w:sz w:val="20"/>
                <w:szCs w:val="20"/>
              </w:rPr>
              <w:t>1.20</w:t>
            </w:r>
          </w:p>
        </w:tc>
        <w:tc>
          <w:tcPr>
            <w:tcW w:w="1193" w:type="dxa"/>
            <w:noWrap/>
            <w:hideMark/>
          </w:tcPr>
          <w:p w14:paraId="64BE75CA" w14:textId="77777777" w:rsidR="00FD019C" w:rsidRPr="00485627" w:rsidRDefault="00FD019C" w:rsidP="000D3216">
            <w:pPr>
              <w:pStyle w:val="Legend"/>
              <w:spacing w:before="0" w:line="480" w:lineRule="auto"/>
              <w:jc w:val="center"/>
              <w:rPr>
                <w:sz w:val="20"/>
                <w:szCs w:val="20"/>
              </w:rPr>
            </w:pPr>
            <w:r w:rsidRPr="00485627">
              <w:rPr>
                <w:sz w:val="20"/>
                <w:szCs w:val="20"/>
              </w:rPr>
              <w:t>9.55E-21</w:t>
            </w:r>
          </w:p>
        </w:tc>
        <w:tc>
          <w:tcPr>
            <w:tcW w:w="763" w:type="dxa"/>
            <w:noWrap/>
            <w:hideMark/>
          </w:tcPr>
          <w:p w14:paraId="79B9C5FC" w14:textId="77777777" w:rsidR="00FD019C" w:rsidRPr="00485627" w:rsidRDefault="00FD019C" w:rsidP="000D3216">
            <w:pPr>
              <w:pStyle w:val="Legend"/>
              <w:spacing w:before="0" w:line="480" w:lineRule="auto"/>
              <w:jc w:val="center"/>
              <w:rPr>
                <w:sz w:val="20"/>
                <w:szCs w:val="20"/>
              </w:rPr>
            </w:pPr>
            <w:r w:rsidRPr="00485627">
              <w:rPr>
                <w:sz w:val="20"/>
                <w:szCs w:val="20"/>
              </w:rPr>
              <w:t>0.90</w:t>
            </w:r>
          </w:p>
        </w:tc>
        <w:tc>
          <w:tcPr>
            <w:tcW w:w="1408" w:type="dxa"/>
            <w:noWrap/>
            <w:hideMark/>
          </w:tcPr>
          <w:p w14:paraId="66ED3B32" w14:textId="77777777" w:rsidR="00FD019C" w:rsidRPr="00485627" w:rsidRDefault="00FD019C" w:rsidP="000D3216">
            <w:pPr>
              <w:pStyle w:val="Legend"/>
              <w:spacing w:before="0" w:line="480" w:lineRule="auto"/>
              <w:jc w:val="center"/>
              <w:rPr>
                <w:sz w:val="20"/>
                <w:szCs w:val="20"/>
              </w:rPr>
            </w:pPr>
            <w:r w:rsidRPr="00485627">
              <w:rPr>
                <w:sz w:val="20"/>
                <w:szCs w:val="20"/>
              </w:rPr>
              <w:t>Hypertension</w:t>
            </w:r>
          </w:p>
        </w:tc>
        <w:tc>
          <w:tcPr>
            <w:tcW w:w="1961" w:type="dxa"/>
            <w:noWrap/>
            <w:hideMark/>
          </w:tcPr>
          <w:p w14:paraId="3604E7AC" w14:textId="77777777" w:rsidR="00FD019C" w:rsidRPr="00485627" w:rsidRDefault="00FD019C" w:rsidP="000D3216">
            <w:pPr>
              <w:pStyle w:val="Legend"/>
              <w:spacing w:before="0" w:line="480" w:lineRule="auto"/>
              <w:jc w:val="center"/>
              <w:rPr>
                <w:sz w:val="20"/>
                <w:szCs w:val="20"/>
              </w:rPr>
            </w:pPr>
            <w:r w:rsidRPr="00485627">
              <w:rPr>
                <w:sz w:val="20"/>
                <w:szCs w:val="20"/>
              </w:rPr>
              <w:t>Gentamicin</w:t>
            </w:r>
          </w:p>
        </w:tc>
        <w:tc>
          <w:tcPr>
            <w:tcW w:w="1305" w:type="dxa"/>
            <w:noWrap/>
            <w:hideMark/>
          </w:tcPr>
          <w:p w14:paraId="75388AA5" w14:textId="77777777" w:rsidR="00FD019C" w:rsidRPr="00485627" w:rsidRDefault="00FD019C" w:rsidP="000D3216">
            <w:pPr>
              <w:pStyle w:val="Legend"/>
              <w:spacing w:before="0" w:line="480" w:lineRule="auto"/>
              <w:jc w:val="center"/>
              <w:rPr>
                <w:sz w:val="20"/>
                <w:szCs w:val="20"/>
              </w:rPr>
            </w:pPr>
            <w:r w:rsidRPr="00485627">
              <w:rPr>
                <w:sz w:val="20"/>
                <w:szCs w:val="20"/>
              </w:rPr>
              <w:t>LRP2</w:t>
            </w:r>
          </w:p>
        </w:tc>
        <w:tc>
          <w:tcPr>
            <w:tcW w:w="1302" w:type="dxa"/>
          </w:tcPr>
          <w:p w14:paraId="152BE1FE" w14:textId="77777777" w:rsidR="00FD019C" w:rsidRPr="00485627" w:rsidRDefault="00FD019C" w:rsidP="000D3216">
            <w:pPr>
              <w:pStyle w:val="Legend"/>
              <w:spacing w:before="0" w:line="480" w:lineRule="auto"/>
              <w:jc w:val="center"/>
              <w:rPr>
                <w:sz w:val="20"/>
                <w:szCs w:val="20"/>
              </w:rPr>
            </w:pPr>
            <w:r>
              <w:rPr>
                <w:sz w:val="20"/>
                <w:szCs w:val="20"/>
              </w:rPr>
              <w:t>Exp8</w:t>
            </w:r>
          </w:p>
        </w:tc>
      </w:tr>
      <w:tr w:rsidR="00FD019C" w:rsidRPr="00485627" w14:paraId="3165671B" w14:textId="77777777" w:rsidTr="00ED1C8C">
        <w:trPr>
          <w:trHeight w:val="320"/>
        </w:trPr>
        <w:tc>
          <w:tcPr>
            <w:tcW w:w="622" w:type="dxa"/>
            <w:noWrap/>
            <w:hideMark/>
          </w:tcPr>
          <w:p w14:paraId="68DDDA44" w14:textId="77777777" w:rsidR="00FD019C" w:rsidRPr="00485627" w:rsidRDefault="00FD019C" w:rsidP="000D3216">
            <w:pPr>
              <w:pStyle w:val="Legend"/>
              <w:spacing w:before="0" w:line="480" w:lineRule="auto"/>
              <w:jc w:val="center"/>
              <w:rPr>
                <w:sz w:val="20"/>
                <w:szCs w:val="20"/>
              </w:rPr>
            </w:pPr>
            <w:r w:rsidRPr="00485627">
              <w:rPr>
                <w:sz w:val="20"/>
                <w:szCs w:val="20"/>
              </w:rPr>
              <w:t>0.96</w:t>
            </w:r>
          </w:p>
        </w:tc>
        <w:tc>
          <w:tcPr>
            <w:tcW w:w="1026" w:type="dxa"/>
            <w:noWrap/>
            <w:hideMark/>
          </w:tcPr>
          <w:p w14:paraId="220B4A08" w14:textId="77777777" w:rsidR="00FD019C" w:rsidRPr="00485627" w:rsidRDefault="00FD019C" w:rsidP="000D3216">
            <w:pPr>
              <w:pStyle w:val="Legend"/>
              <w:spacing w:before="0" w:line="480" w:lineRule="auto"/>
              <w:jc w:val="center"/>
              <w:rPr>
                <w:sz w:val="20"/>
                <w:szCs w:val="20"/>
              </w:rPr>
            </w:pPr>
            <w:r w:rsidRPr="00485627">
              <w:rPr>
                <w:sz w:val="20"/>
                <w:szCs w:val="20"/>
              </w:rPr>
              <w:t>5.24E-01</w:t>
            </w:r>
          </w:p>
        </w:tc>
        <w:tc>
          <w:tcPr>
            <w:tcW w:w="855" w:type="dxa"/>
            <w:noWrap/>
            <w:hideMark/>
          </w:tcPr>
          <w:p w14:paraId="2623DAE4" w14:textId="77777777" w:rsidR="00FD019C" w:rsidRPr="00485627" w:rsidRDefault="00FD019C" w:rsidP="000D3216">
            <w:pPr>
              <w:pStyle w:val="Legend"/>
              <w:spacing w:before="0" w:line="480" w:lineRule="auto"/>
              <w:jc w:val="center"/>
              <w:rPr>
                <w:sz w:val="20"/>
                <w:szCs w:val="20"/>
              </w:rPr>
            </w:pPr>
            <w:r w:rsidRPr="00485627">
              <w:rPr>
                <w:sz w:val="20"/>
                <w:szCs w:val="20"/>
              </w:rPr>
              <w:t>1.12</w:t>
            </w:r>
          </w:p>
        </w:tc>
        <w:tc>
          <w:tcPr>
            <w:tcW w:w="1193" w:type="dxa"/>
            <w:noWrap/>
            <w:hideMark/>
          </w:tcPr>
          <w:p w14:paraId="48912954" w14:textId="77777777" w:rsidR="00FD019C" w:rsidRPr="00485627" w:rsidRDefault="00FD019C" w:rsidP="000D3216">
            <w:pPr>
              <w:pStyle w:val="Legend"/>
              <w:spacing w:before="0" w:line="480" w:lineRule="auto"/>
              <w:jc w:val="center"/>
              <w:rPr>
                <w:sz w:val="20"/>
                <w:szCs w:val="20"/>
              </w:rPr>
            </w:pPr>
            <w:r w:rsidRPr="00485627">
              <w:rPr>
                <w:sz w:val="20"/>
                <w:szCs w:val="20"/>
              </w:rPr>
              <w:t>3.48E-08</w:t>
            </w:r>
          </w:p>
        </w:tc>
        <w:tc>
          <w:tcPr>
            <w:tcW w:w="763" w:type="dxa"/>
            <w:noWrap/>
            <w:hideMark/>
          </w:tcPr>
          <w:p w14:paraId="03EB66D1" w14:textId="77777777" w:rsidR="00FD019C" w:rsidRPr="00485627" w:rsidRDefault="00FD019C" w:rsidP="000D3216">
            <w:pPr>
              <w:pStyle w:val="Legend"/>
              <w:spacing w:before="0" w:line="480" w:lineRule="auto"/>
              <w:jc w:val="center"/>
              <w:rPr>
                <w:sz w:val="20"/>
                <w:szCs w:val="20"/>
              </w:rPr>
            </w:pPr>
            <w:r w:rsidRPr="00485627">
              <w:rPr>
                <w:sz w:val="20"/>
                <w:szCs w:val="20"/>
              </w:rPr>
              <w:t>0.85</w:t>
            </w:r>
          </w:p>
        </w:tc>
        <w:tc>
          <w:tcPr>
            <w:tcW w:w="1408" w:type="dxa"/>
            <w:noWrap/>
            <w:hideMark/>
          </w:tcPr>
          <w:p w14:paraId="78D41798" w14:textId="77777777" w:rsidR="00FD019C" w:rsidRPr="00485627" w:rsidRDefault="00FD019C" w:rsidP="000D3216">
            <w:pPr>
              <w:pStyle w:val="Legend"/>
              <w:spacing w:before="0" w:line="480" w:lineRule="auto"/>
              <w:jc w:val="center"/>
              <w:rPr>
                <w:sz w:val="20"/>
                <w:szCs w:val="20"/>
              </w:rPr>
            </w:pPr>
            <w:r w:rsidRPr="00485627">
              <w:rPr>
                <w:sz w:val="20"/>
                <w:szCs w:val="20"/>
              </w:rPr>
              <w:t>Hypertension</w:t>
            </w:r>
          </w:p>
        </w:tc>
        <w:tc>
          <w:tcPr>
            <w:tcW w:w="1961" w:type="dxa"/>
            <w:noWrap/>
            <w:hideMark/>
          </w:tcPr>
          <w:p w14:paraId="7B9A20D8" w14:textId="77777777" w:rsidR="00FD019C" w:rsidRPr="00485627" w:rsidRDefault="00FD019C" w:rsidP="000D3216">
            <w:pPr>
              <w:pStyle w:val="Legend"/>
              <w:spacing w:before="0" w:line="480" w:lineRule="auto"/>
              <w:jc w:val="center"/>
              <w:rPr>
                <w:sz w:val="20"/>
                <w:szCs w:val="20"/>
              </w:rPr>
            </w:pPr>
            <w:r w:rsidRPr="00485627">
              <w:rPr>
                <w:sz w:val="20"/>
                <w:szCs w:val="20"/>
              </w:rPr>
              <w:t>Misoprostol</w:t>
            </w:r>
          </w:p>
        </w:tc>
        <w:tc>
          <w:tcPr>
            <w:tcW w:w="1305" w:type="dxa"/>
            <w:noWrap/>
            <w:hideMark/>
          </w:tcPr>
          <w:p w14:paraId="62EAFDC5" w14:textId="77777777" w:rsidR="00FD019C" w:rsidRPr="00485627" w:rsidRDefault="00FD019C" w:rsidP="000D3216">
            <w:pPr>
              <w:pStyle w:val="Legend"/>
              <w:spacing w:before="0" w:line="480" w:lineRule="auto"/>
              <w:jc w:val="center"/>
              <w:rPr>
                <w:sz w:val="20"/>
                <w:szCs w:val="20"/>
              </w:rPr>
            </w:pPr>
            <w:r w:rsidRPr="00485627">
              <w:rPr>
                <w:sz w:val="20"/>
                <w:szCs w:val="20"/>
              </w:rPr>
              <w:t>PTGER4</w:t>
            </w:r>
          </w:p>
        </w:tc>
        <w:tc>
          <w:tcPr>
            <w:tcW w:w="1302" w:type="dxa"/>
          </w:tcPr>
          <w:p w14:paraId="6C165FC8" w14:textId="77777777" w:rsidR="00FD019C" w:rsidRPr="00485627" w:rsidRDefault="00FD019C" w:rsidP="000D3216">
            <w:pPr>
              <w:pStyle w:val="Legend"/>
              <w:spacing w:before="0" w:line="480" w:lineRule="auto"/>
              <w:jc w:val="center"/>
              <w:rPr>
                <w:sz w:val="20"/>
                <w:szCs w:val="20"/>
              </w:rPr>
            </w:pPr>
            <w:r>
              <w:rPr>
                <w:sz w:val="20"/>
                <w:szCs w:val="20"/>
              </w:rPr>
              <w:t>Exp18</w:t>
            </w:r>
          </w:p>
        </w:tc>
      </w:tr>
    </w:tbl>
    <w:p w14:paraId="1A313C92" w14:textId="6E49E5A5" w:rsidR="00FD019C" w:rsidRPr="002F4421" w:rsidRDefault="00FD019C" w:rsidP="000D3216">
      <w:pPr>
        <w:pStyle w:val="Legend"/>
        <w:spacing w:line="480" w:lineRule="auto"/>
      </w:pPr>
      <w:r>
        <w:rPr>
          <w:b/>
          <w:bCs/>
        </w:rPr>
        <w:t xml:space="preserve">Table 4. Additional HR ratios estimated from EHR-ML analysis. </w:t>
      </w:r>
      <w:r>
        <w:t>Network and non-network class drugs are listed in Table S6 and are referenced by the experimental number (“</w:t>
      </w:r>
      <w:proofErr w:type="spellStart"/>
      <w:r>
        <w:t>ExpNum</w:t>
      </w:r>
      <w:proofErr w:type="spellEnd"/>
      <w:r>
        <w:t>”).</w:t>
      </w:r>
    </w:p>
    <w:p w14:paraId="12B1C58B" w14:textId="77777777" w:rsidR="00FD019C" w:rsidRDefault="00FD019C"/>
    <w:sectPr w:rsidR="00FD019C" w:rsidSect="004A10BE">
      <w:headerReference w:type="first" r:id="rId17"/>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98B7B" w14:textId="77777777" w:rsidR="00440A97" w:rsidRDefault="00440A97" w:rsidP="004A10BE">
      <w:r>
        <w:separator/>
      </w:r>
    </w:p>
  </w:endnote>
  <w:endnote w:type="continuationSeparator" w:id="0">
    <w:p w14:paraId="0818664A" w14:textId="77777777" w:rsidR="00440A97" w:rsidRDefault="00440A97" w:rsidP="004A1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A456C" w14:textId="77777777" w:rsidR="00440A97" w:rsidRDefault="00440A97" w:rsidP="004A10BE">
      <w:r>
        <w:separator/>
      </w:r>
    </w:p>
  </w:footnote>
  <w:footnote w:type="continuationSeparator" w:id="0">
    <w:p w14:paraId="3956E4A6" w14:textId="77777777" w:rsidR="00440A97" w:rsidRDefault="00440A97" w:rsidP="004A10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E752E" w14:textId="77777777" w:rsidR="008573F1" w:rsidRDefault="008573F1" w:rsidP="004A10BE">
    <w:pPr>
      <w:pStyle w:val="Header"/>
    </w:pPr>
  </w:p>
  <w:p w14:paraId="2AB23E5A" w14:textId="77777777" w:rsidR="008573F1" w:rsidRPr="00204015" w:rsidRDefault="008573F1" w:rsidP="004A10BE">
    <w:pPr>
      <w:pStyle w:val="Header"/>
    </w:pPr>
    <w:r>
      <w:tab/>
    </w:r>
    <w:r w:rsidRPr="00204015">
      <w:t>Submitted Manuscript:  Confidential</w:t>
    </w:r>
    <w:r>
      <w:tab/>
    </w:r>
    <w:r w:rsidR="005341F3">
      <w:t xml:space="preserve">             </w:t>
    </w:r>
    <w:r w:rsidR="005341F3" w:rsidRPr="005341F3">
      <w:rPr>
        <w:sz w:val="16"/>
        <w:szCs w:val="16"/>
      </w:rPr>
      <w:t xml:space="preserve">template updated: </w:t>
    </w:r>
    <w:r w:rsidR="00664164">
      <w:rPr>
        <w:sz w:val="16"/>
        <w:szCs w:val="16"/>
      </w:rPr>
      <w:t>Febr</w:t>
    </w:r>
    <w:r w:rsidR="004B386E">
      <w:rPr>
        <w:sz w:val="16"/>
        <w:szCs w:val="16"/>
      </w:rPr>
      <w:t>uary 2021</w:t>
    </w:r>
  </w:p>
  <w:p w14:paraId="130ED7F7" w14:textId="77777777" w:rsidR="008573F1" w:rsidRDefault="008573F1" w:rsidP="004A1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61D"/>
    <w:rsid w:val="00023672"/>
    <w:rsid w:val="000311DF"/>
    <w:rsid w:val="00067A6E"/>
    <w:rsid w:val="00070962"/>
    <w:rsid w:val="000728BE"/>
    <w:rsid w:val="00083605"/>
    <w:rsid w:val="0008650E"/>
    <w:rsid w:val="000877D9"/>
    <w:rsid w:val="00090175"/>
    <w:rsid w:val="000C134D"/>
    <w:rsid w:val="000D3216"/>
    <w:rsid w:val="000E4E26"/>
    <w:rsid w:val="000E72F8"/>
    <w:rsid w:val="001005CA"/>
    <w:rsid w:val="00104AEE"/>
    <w:rsid w:val="00104F52"/>
    <w:rsid w:val="001066E5"/>
    <w:rsid w:val="00175CBB"/>
    <w:rsid w:val="001A2627"/>
    <w:rsid w:val="001C5C57"/>
    <w:rsid w:val="001C6EDA"/>
    <w:rsid w:val="00213078"/>
    <w:rsid w:val="002328E1"/>
    <w:rsid w:val="002371C5"/>
    <w:rsid w:val="00240A26"/>
    <w:rsid w:val="00252DD5"/>
    <w:rsid w:val="002657B0"/>
    <w:rsid w:val="00272347"/>
    <w:rsid w:val="003031A8"/>
    <w:rsid w:val="003202D7"/>
    <w:rsid w:val="00344076"/>
    <w:rsid w:val="0034442B"/>
    <w:rsid w:val="0036781F"/>
    <w:rsid w:val="00376FB8"/>
    <w:rsid w:val="003957E5"/>
    <w:rsid w:val="003D7F1D"/>
    <w:rsid w:val="004057DD"/>
    <w:rsid w:val="0044054F"/>
    <w:rsid w:val="00440A97"/>
    <w:rsid w:val="004479CF"/>
    <w:rsid w:val="00480174"/>
    <w:rsid w:val="00491CC9"/>
    <w:rsid w:val="004940DD"/>
    <w:rsid w:val="004A10BE"/>
    <w:rsid w:val="004B386E"/>
    <w:rsid w:val="004D58AE"/>
    <w:rsid w:val="004F059E"/>
    <w:rsid w:val="00527FCC"/>
    <w:rsid w:val="005341F3"/>
    <w:rsid w:val="00540789"/>
    <w:rsid w:val="00552069"/>
    <w:rsid w:val="00556913"/>
    <w:rsid w:val="00570964"/>
    <w:rsid w:val="00580676"/>
    <w:rsid w:val="00580DBC"/>
    <w:rsid w:val="005C36A4"/>
    <w:rsid w:val="005D3A4A"/>
    <w:rsid w:val="0064261D"/>
    <w:rsid w:val="00664164"/>
    <w:rsid w:val="00675306"/>
    <w:rsid w:val="006C2AD8"/>
    <w:rsid w:val="006E30D9"/>
    <w:rsid w:val="006E610F"/>
    <w:rsid w:val="00723EDE"/>
    <w:rsid w:val="007344E3"/>
    <w:rsid w:val="00741F08"/>
    <w:rsid w:val="00742CD6"/>
    <w:rsid w:val="007B2757"/>
    <w:rsid w:val="007C275A"/>
    <w:rsid w:val="00825676"/>
    <w:rsid w:val="008573F1"/>
    <w:rsid w:val="0087188C"/>
    <w:rsid w:val="008A11C2"/>
    <w:rsid w:val="008B220C"/>
    <w:rsid w:val="008D2D3F"/>
    <w:rsid w:val="008D7795"/>
    <w:rsid w:val="009014E2"/>
    <w:rsid w:val="00921181"/>
    <w:rsid w:val="0093733A"/>
    <w:rsid w:val="00943D39"/>
    <w:rsid w:val="00955C09"/>
    <w:rsid w:val="009624CA"/>
    <w:rsid w:val="009677F4"/>
    <w:rsid w:val="009762FC"/>
    <w:rsid w:val="009A71F8"/>
    <w:rsid w:val="009B1602"/>
    <w:rsid w:val="009D5179"/>
    <w:rsid w:val="00A30B08"/>
    <w:rsid w:val="00A5703F"/>
    <w:rsid w:val="00AB75B7"/>
    <w:rsid w:val="00AC4693"/>
    <w:rsid w:val="00AE3304"/>
    <w:rsid w:val="00B256F1"/>
    <w:rsid w:val="00B272F7"/>
    <w:rsid w:val="00B5128E"/>
    <w:rsid w:val="00B84CF2"/>
    <w:rsid w:val="00BA191D"/>
    <w:rsid w:val="00BB6F69"/>
    <w:rsid w:val="00BC291B"/>
    <w:rsid w:val="00C20729"/>
    <w:rsid w:val="00C711AA"/>
    <w:rsid w:val="00C90662"/>
    <w:rsid w:val="00C90F6C"/>
    <w:rsid w:val="00C917E9"/>
    <w:rsid w:val="00C93386"/>
    <w:rsid w:val="00CE3B9E"/>
    <w:rsid w:val="00CF2E50"/>
    <w:rsid w:val="00D0079B"/>
    <w:rsid w:val="00D011FA"/>
    <w:rsid w:val="00D0498D"/>
    <w:rsid w:val="00D31D35"/>
    <w:rsid w:val="00D555F4"/>
    <w:rsid w:val="00D64DFA"/>
    <w:rsid w:val="00D663DF"/>
    <w:rsid w:val="00D821A2"/>
    <w:rsid w:val="00DF668A"/>
    <w:rsid w:val="00E04E5F"/>
    <w:rsid w:val="00E21159"/>
    <w:rsid w:val="00E232AB"/>
    <w:rsid w:val="00E435A8"/>
    <w:rsid w:val="00E60349"/>
    <w:rsid w:val="00E657B5"/>
    <w:rsid w:val="00E81A31"/>
    <w:rsid w:val="00E87CC4"/>
    <w:rsid w:val="00EB6A4F"/>
    <w:rsid w:val="00EC474C"/>
    <w:rsid w:val="00EE0B8D"/>
    <w:rsid w:val="00EE7E60"/>
    <w:rsid w:val="00F06437"/>
    <w:rsid w:val="00F27117"/>
    <w:rsid w:val="00F471B1"/>
    <w:rsid w:val="00F53E05"/>
    <w:rsid w:val="00F623A9"/>
    <w:rsid w:val="00FA2894"/>
    <w:rsid w:val="00FA2B5D"/>
    <w:rsid w:val="00FA7184"/>
    <w:rsid w:val="00FB2A95"/>
    <w:rsid w:val="00FC3F82"/>
    <w:rsid w:val="00FD019C"/>
    <w:rsid w:val="00FD5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7E2809"/>
  <w15:chartTrackingRefBased/>
  <w15:docId w15:val="{378919FB-B2CA-46C1-A956-7FAD518CB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paragraph" w:styleId="Heading1">
    <w:name w:val="heading 1"/>
    <w:basedOn w:val="Normal"/>
    <w:next w:val="Normal"/>
    <w:link w:val="Heading1Char"/>
    <w:uiPriority w:val="9"/>
    <w:qFormat/>
    <w:rsid w:val="003957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rsid w:val="009A3899"/>
    <w:rPr>
      <w:sz w:val="24"/>
      <w:bdr w:val="none" w:sz="0" w:space="0" w:color="auto"/>
      <w:shd w:val="clear" w:color="auto" w:fill="C0C0C0"/>
    </w:rPr>
  </w:style>
  <w:style w:type="character" w:customStyle="1" w:styleId="audeg">
    <w:name w:val="au_deg"/>
    <w:rsid w:val="009A3899"/>
    <w:rPr>
      <w:sz w:val="24"/>
      <w:bdr w:val="none" w:sz="0" w:space="0" w:color="auto"/>
      <w:shd w:val="clear" w:color="auto" w:fill="FFFF00"/>
    </w:rPr>
  </w:style>
  <w:style w:type="character" w:customStyle="1" w:styleId="aufname">
    <w:name w:val="au_fname"/>
    <w:rsid w:val="009A3899"/>
    <w:rPr>
      <w:sz w:val="24"/>
      <w:bdr w:val="none" w:sz="0" w:space="0" w:color="auto"/>
      <w:shd w:val="clear" w:color="auto" w:fill="00FFFF"/>
    </w:rPr>
  </w:style>
  <w:style w:type="character" w:customStyle="1" w:styleId="aurole">
    <w:name w:val="au_role"/>
    <w:rsid w:val="009A3899"/>
    <w:rPr>
      <w:sz w:val="24"/>
      <w:bdr w:val="none" w:sz="0" w:space="0" w:color="auto"/>
      <w:shd w:val="clear" w:color="auto" w:fill="808000"/>
    </w:rPr>
  </w:style>
  <w:style w:type="character" w:customStyle="1" w:styleId="ausuffix">
    <w:name w:val="au_suffix"/>
    <w:rsid w:val="009A3899"/>
    <w:rPr>
      <w:sz w:val="24"/>
      <w:bdr w:val="none" w:sz="0" w:space="0" w:color="auto"/>
      <w:shd w:val="clear" w:color="auto" w:fill="FF00FF"/>
    </w:rPr>
  </w:style>
  <w:style w:type="character" w:customStyle="1" w:styleId="ausurname">
    <w:name w:val="au_surnam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link w:val="BalloonText"/>
    <w:semiHidden/>
    <w:rsid w:val="009A3899"/>
    <w:rPr>
      <w:rFonts w:ascii="Lucida Grande" w:eastAsia="Times New Roman" w:hAnsi="Lucida Grande"/>
      <w:sz w:val="18"/>
      <w:szCs w:val="18"/>
    </w:rPr>
  </w:style>
  <w:style w:type="character" w:customStyle="1" w:styleId="bibarticle">
    <w:name w:val="bib_article"/>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rsid w:val="009A3899"/>
    <w:rPr>
      <w:sz w:val="24"/>
      <w:bdr w:val="none" w:sz="0" w:space="0" w:color="auto"/>
      <w:shd w:val="clear" w:color="auto" w:fill="00FF00"/>
    </w:rPr>
  </w:style>
  <w:style w:type="character" w:customStyle="1" w:styleId="bibetal">
    <w:name w:val="bib_etal"/>
    <w:rsid w:val="009A3899"/>
    <w:rPr>
      <w:sz w:val="24"/>
      <w:bdr w:val="none" w:sz="0" w:space="0" w:color="auto"/>
      <w:shd w:val="clear" w:color="auto" w:fill="008080"/>
    </w:rPr>
  </w:style>
  <w:style w:type="character" w:customStyle="1" w:styleId="bibfname">
    <w:name w:val="bib_fname"/>
    <w:rsid w:val="009A3899"/>
    <w:rPr>
      <w:sz w:val="24"/>
      <w:bdr w:val="none" w:sz="0" w:space="0" w:color="auto"/>
      <w:shd w:val="clear" w:color="auto" w:fill="FFFF00"/>
    </w:rPr>
  </w:style>
  <w:style w:type="character" w:customStyle="1" w:styleId="bibfpage">
    <w:name w:val="bib_fpage"/>
    <w:rsid w:val="009A3899"/>
    <w:rPr>
      <w:sz w:val="24"/>
      <w:bdr w:val="none" w:sz="0" w:space="0" w:color="auto"/>
      <w:shd w:val="clear" w:color="auto" w:fill="808080"/>
    </w:rPr>
  </w:style>
  <w:style w:type="character" w:customStyle="1" w:styleId="bibissue">
    <w:name w:val="bib_issue"/>
    <w:rsid w:val="009A3899"/>
    <w:rPr>
      <w:sz w:val="24"/>
      <w:bdr w:val="none" w:sz="0" w:space="0" w:color="auto"/>
      <w:shd w:val="clear" w:color="auto" w:fill="FFFF00"/>
    </w:rPr>
  </w:style>
  <w:style w:type="character" w:customStyle="1" w:styleId="bibjournal">
    <w:name w:val="bib_journal"/>
    <w:rsid w:val="009A3899"/>
    <w:rPr>
      <w:sz w:val="24"/>
      <w:bdr w:val="none" w:sz="0" w:space="0" w:color="auto"/>
      <w:shd w:val="clear" w:color="auto" w:fill="808000"/>
    </w:rPr>
  </w:style>
  <w:style w:type="character" w:customStyle="1" w:styleId="biblpage">
    <w:name w:val="bib_lpag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rsid w:val="009A3899"/>
    <w:rPr>
      <w:sz w:val="24"/>
      <w:bdr w:val="none" w:sz="0" w:space="0" w:color="auto"/>
      <w:shd w:val="clear" w:color="auto" w:fill="FFFF00"/>
    </w:rPr>
  </w:style>
  <w:style w:type="character" w:customStyle="1" w:styleId="bibsurname">
    <w:name w:val="bib_surnam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rsid w:val="009A3899"/>
    <w:rPr>
      <w:sz w:val="24"/>
      <w:bdr w:val="none" w:sz="0" w:space="0" w:color="auto"/>
      <w:shd w:val="clear" w:color="auto" w:fill="00FF00"/>
    </w:rPr>
  </w:style>
  <w:style w:type="character" w:customStyle="1" w:styleId="bibvolume">
    <w:name w:val="bib_volume"/>
    <w:rsid w:val="009A3899"/>
    <w:rPr>
      <w:sz w:val="24"/>
      <w:bdr w:val="none" w:sz="0" w:space="0" w:color="auto"/>
      <w:shd w:val="clear" w:color="auto" w:fill="00FF00"/>
    </w:rPr>
  </w:style>
  <w:style w:type="character" w:customStyle="1" w:styleId="bibyear">
    <w:name w:val="bib_year"/>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rsid w:val="009A3899"/>
    <w:rPr>
      <w:sz w:val="24"/>
      <w:shd w:val="clear" w:color="auto" w:fill="FFFF00"/>
      <w:vertAlign w:val="superscript"/>
    </w:rPr>
  </w:style>
  <w:style w:type="character" w:customStyle="1" w:styleId="citeeq">
    <w:name w:val="cite_eq"/>
    <w:rsid w:val="009A3899"/>
    <w:rPr>
      <w:sz w:val="24"/>
      <w:bdr w:val="none" w:sz="0" w:space="0" w:color="auto"/>
      <w:shd w:val="clear" w:color="auto" w:fill="FF99CC"/>
    </w:rPr>
  </w:style>
  <w:style w:type="character" w:customStyle="1" w:styleId="citefig">
    <w:name w:val="cite_fig"/>
    <w:rsid w:val="009A3899"/>
    <w:rPr>
      <w:color w:val="000000"/>
      <w:sz w:val="24"/>
      <w:bdr w:val="none" w:sz="0" w:space="0" w:color="auto"/>
      <w:shd w:val="clear" w:color="auto" w:fill="00FF00"/>
    </w:rPr>
  </w:style>
  <w:style w:type="character" w:customStyle="1" w:styleId="citefn">
    <w:name w:val="cite_fn"/>
    <w:rsid w:val="009A3899"/>
    <w:rPr>
      <w:sz w:val="24"/>
      <w:bdr w:val="none" w:sz="0" w:space="0" w:color="auto"/>
      <w:shd w:val="clear" w:color="auto" w:fill="FF0000"/>
    </w:rPr>
  </w:style>
  <w:style w:type="character" w:customStyle="1" w:styleId="citetbl">
    <w:name w:val="cite_tbl"/>
    <w:rsid w:val="009A3899"/>
    <w:rPr>
      <w:color w:val="000000"/>
      <w:sz w:val="24"/>
      <w:bdr w:val="none" w:sz="0" w:space="0" w:color="auto"/>
      <w:shd w:val="clear" w:color="auto" w:fill="FF00FF"/>
    </w:rPr>
  </w:style>
  <w:style w:type="character" w:styleId="CommentReference">
    <w:name w:val="annotation reference"/>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rsid w:val="009A3899"/>
    <w:rPr>
      <w:sz w:val="24"/>
      <w:szCs w:val="24"/>
      <w:bdr w:val="none" w:sz="0" w:space="0" w:color="auto"/>
      <w:shd w:val="clear" w:color="auto" w:fill="CCFFCC"/>
    </w:rPr>
  </w:style>
  <w:style w:type="character" w:customStyle="1" w:styleId="ContractSponsor">
    <w:name w:val="Contract Sponsor"/>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uiPriority w:val="20"/>
    <w:qFormat/>
    <w:rsid w:val="009A3899"/>
    <w:rPr>
      <w:i/>
      <w:iCs/>
    </w:rPr>
  </w:style>
  <w:style w:type="character" w:styleId="EndnoteReference">
    <w:name w:val="endnote reference"/>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rsid w:val="009A3899"/>
    <w:rPr>
      <w:color w:val="800080"/>
      <w:u w:val="single"/>
    </w:rPr>
  </w:style>
  <w:style w:type="paragraph" w:styleId="Footer">
    <w:name w:val="footer"/>
    <w:basedOn w:val="Normal"/>
    <w:link w:val="FooterChar"/>
    <w:rsid w:val="009A3899"/>
    <w:pPr>
      <w:tabs>
        <w:tab w:val="center" w:pos="4320"/>
        <w:tab w:val="right" w:pos="8640"/>
      </w:tabs>
    </w:pPr>
    <w:rPr>
      <w:rFonts w:eastAsia="Times New Roman"/>
    </w:rPr>
  </w:style>
  <w:style w:type="character" w:customStyle="1" w:styleId="FooterChar">
    <w:name w:val="Footer Char"/>
    <w:link w:val="Footer"/>
    <w:rsid w:val="009A3899"/>
    <w:rPr>
      <w:rFonts w:ascii="Times New Roman" w:eastAsia="Times New Roman" w:hAnsi="Times New Roman"/>
      <w:sz w:val="20"/>
      <w:szCs w:val="20"/>
    </w:rPr>
  </w:style>
  <w:style w:type="character" w:styleId="FootnoteReference">
    <w:name w:val="footnote reference"/>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rsid w:val="009A3899"/>
    <w:rPr>
      <w:i/>
      <w:iCs/>
    </w:rPr>
  </w:style>
  <w:style w:type="character" w:styleId="HTMLCode">
    <w:name w:val="HTML Code"/>
    <w:rsid w:val="009A3899"/>
    <w:rPr>
      <w:rFonts w:ascii="Courier New" w:hAnsi="Courier New" w:cs="Courier New"/>
      <w:sz w:val="20"/>
      <w:szCs w:val="20"/>
    </w:rPr>
  </w:style>
  <w:style w:type="character" w:styleId="HTMLDefinition">
    <w:name w:val="HTML Definition"/>
    <w:rsid w:val="009A3899"/>
    <w:rPr>
      <w:i/>
      <w:iCs/>
    </w:rPr>
  </w:style>
  <w:style w:type="character" w:styleId="HTMLKeyboard">
    <w:name w:val="HTML Keyboard"/>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link w:val="HTMLPreformatted"/>
    <w:rsid w:val="009A3899"/>
    <w:rPr>
      <w:rFonts w:ascii="Consolas" w:eastAsia="Times New Roman" w:hAnsi="Consolas"/>
      <w:sz w:val="20"/>
      <w:szCs w:val="20"/>
    </w:rPr>
  </w:style>
  <w:style w:type="character" w:styleId="HTMLSample">
    <w:name w:val="HTML Sample"/>
    <w:rsid w:val="009A3899"/>
    <w:rPr>
      <w:rFonts w:ascii="Courier New" w:hAnsi="Courier New" w:cs="Courier New"/>
    </w:rPr>
  </w:style>
  <w:style w:type="character" w:styleId="HTMLTypewriter">
    <w:name w:val="HTML Typewriter"/>
    <w:rsid w:val="009A3899"/>
    <w:rPr>
      <w:rFonts w:ascii="Courier New" w:hAnsi="Courier New" w:cs="Courier New"/>
      <w:sz w:val="20"/>
      <w:szCs w:val="20"/>
    </w:rPr>
  </w:style>
  <w:style w:type="character" w:styleId="HTMLVariable">
    <w:name w:val="HTML Variable"/>
    <w:rsid w:val="009A3899"/>
    <w:rPr>
      <w:i/>
      <w:iCs/>
    </w:rPr>
  </w:style>
  <w:style w:type="character" w:styleId="Hyperlink">
    <w:name w:val="Hyperlink"/>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customStyle="1" w:styleId="custom-cit-author">
    <w:name w:val="custom-cit-author"/>
    <w:basedOn w:val="DefaultParagraphFont"/>
    <w:rsid w:val="00943D39"/>
  </w:style>
  <w:style w:type="character" w:customStyle="1" w:styleId="custom-cit-title">
    <w:name w:val="custom-cit-title"/>
    <w:basedOn w:val="DefaultParagraphFont"/>
    <w:rsid w:val="00943D39"/>
  </w:style>
  <w:style w:type="character" w:customStyle="1" w:styleId="custom-cit-jour-title">
    <w:name w:val="custom-cit-jour-title"/>
    <w:basedOn w:val="DefaultParagraphFont"/>
    <w:rsid w:val="00943D39"/>
  </w:style>
  <w:style w:type="character" w:customStyle="1" w:styleId="custom-cit-volume">
    <w:name w:val="custom-cit-volume"/>
    <w:basedOn w:val="DefaultParagraphFont"/>
    <w:rsid w:val="00943D39"/>
  </w:style>
  <w:style w:type="character" w:customStyle="1" w:styleId="custom-cit-volume-sep">
    <w:name w:val="custom-cit-volume-sep"/>
    <w:basedOn w:val="DefaultParagraphFont"/>
    <w:rsid w:val="00943D39"/>
  </w:style>
  <w:style w:type="character" w:customStyle="1" w:styleId="custom-cit-fpage">
    <w:name w:val="custom-cit-fpage"/>
    <w:basedOn w:val="DefaultParagraphFont"/>
    <w:rsid w:val="00943D39"/>
  </w:style>
  <w:style w:type="character" w:customStyle="1" w:styleId="custom-cit-date">
    <w:name w:val="custom-cit-date"/>
    <w:basedOn w:val="DefaultParagraphFont"/>
    <w:rsid w:val="00943D39"/>
  </w:style>
  <w:style w:type="character" w:styleId="UnresolvedMention">
    <w:name w:val="Unresolved Mention"/>
    <w:uiPriority w:val="99"/>
    <w:semiHidden/>
    <w:unhideWhenUsed/>
    <w:rsid w:val="00175CBB"/>
    <w:rPr>
      <w:color w:val="605E5C"/>
      <w:shd w:val="clear" w:color="auto" w:fill="E1DFDD"/>
    </w:rPr>
  </w:style>
  <w:style w:type="table" w:styleId="TableGrid">
    <w:name w:val="Table Grid"/>
    <w:basedOn w:val="TableNormal"/>
    <w:uiPriority w:val="59"/>
    <w:rsid w:val="00FD01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MHeading">
    <w:name w:val="SM Heading"/>
    <w:basedOn w:val="Heading1"/>
    <w:qFormat/>
    <w:rsid w:val="003957E5"/>
    <w:pPr>
      <w:keepLines w:val="0"/>
      <w:spacing w:after="60"/>
    </w:pPr>
    <w:rPr>
      <w:rFonts w:ascii="Times New Roman" w:eastAsia="Times New Roman" w:hAnsi="Times New Roman" w:cs="Times New Roman"/>
      <w:b/>
      <w:bCs/>
      <w:color w:val="auto"/>
      <w:kern w:val="32"/>
      <w:sz w:val="24"/>
      <w:szCs w:val="24"/>
    </w:rPr>
  </w:style>
  <w:style w:type="character" w:customStyle="1" w:styleId="Heading1Char">
    <w:name w:val="Heading 1 Char"/>
    <w:basedOn w:val="DefaultParagraphFont"/>
    <w:link w:val="Heading1"/>
    <w:uiPriority w:val="9"/>
    <w:rsid w:val="003957E5"/>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7C27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enwilson521/Designated-Medical-Event-Pathways"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101/2020.12.15.422844"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674C7A77CE0514C8EA9972A6AA0B0A5" ma:contentTypeVersion="12" ma:contentTypeDescription="Create a new document." ma:contentTypeScope="" ma:versionID="7e99b502f0bad2f53a83bf4b0d33dbb9">
  <xsd:schema xmlns:xsd="http://www.w3.org/2001/XMLSchema" xmlns:xs="http://www.w3.org/2001/XMLSchema" xmlns:p="http://schemas.microsoft.com/office/2006/metadata/properties" xmlns:ns3="6abc619b-39d1-41b2-8433-a04451f34412" xmlns:ns4="4369a23a-a739-4e75-a877-0d1fab5acdb5" targetNamespace="http://schemas.microsoft.com/office/2006/metadata/properties" ma:root="true" ma:fieldsID="ae3ecaaf132394621abbb87c81b186b7" ns3:_="" ns4:_="">
    <xsd:import namespace="6abc619b-39d1-41b2-8433-a04451f34412"/>
    <xsd:import namespace="4369a23a-a739-4e75-a877-0d1fab5acdb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bc619b-39d1-41b2-8433-a04451f3441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369a23a-a739-4e75-a877-0d1fab5acdb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C22948-B307-46AD-A962-58BEE57FA4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3AEE76-923C-41C5-99E3-A0990FF220BA}">
  <ds:schemaRefs>
    <ds:schemaRef ds:uri="http://schemas.microsoft.com/sharepoint/v3/contenttype/forms"/>
  </ds:schemaRefs>
</ds:datastoreItem>
</file>

<file path=customXml/itemProps3.xml><?xml version="1.0" encoding="utf-8"?>
<ds:datastoreItem xmlns:ds="http://schemas.openxmlformats.org/officeDocument/2006/customXml" ds:itemID="{6E4FEC25-51F9-4BD7-A980-AEE3F72AD8A1}">
  <ds:schemaRefs>
    <ds:schemaRef ds:uri="http://schemas.openxmlformats.org/officeDocument/2006/bibliography"/>
  </ds:schemaRefs>
</ds:datastoreItem>
</file>

<file path=customXml/itemProps4.xml><?xml version="1.0" encoding="utf-8"?>
<ds:datastoreItem xmlns:ds="http://schemas.openxmlformats.org/officeDocument/2006/customXml" ds:itemID="{1F2AC658-7A56-40DE-922C-1162C1D4B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bc619b-39d1-41b2-8433-a04451f34412"/>
    <ds:schemaRef ds:uri="4369a23a-a739-4e75-a877-0d1fab5acd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35</Pages>
  <Words>19516</Words>
  <Characters>111247</Characters>
  <Application>Microsoft Office Word</Application>
  <DocSecurity>0</DocSecurity>
  <Lines>927</Lines>
  <Paragraphs>261</Paragraphs>
  <ScaleCrop>false</ScaleCrop>
  <HeadingPairs>
    <vt:vector size="2" baseType="variant">
      <vt:variant>
        <vt:lpstr>Title</vt:lpstr>
      </vt:variant>
      <vt:variant>
        <vt:i4>1</vt:i4>
      </vt:variant>
    </vt:vector>
  </HeadingPairs>
  <TitlesOfParts>
    <vt:vector size="1" baseType="lpstr">
      <vt:lpstr>Science Manuscript Template</vt:lpstr>
    </vt:vector>
  </TitlesOfParts>
  <Company>Microsoft</Company>
  <LinksUpToDate>false</LinksUpToDate>
  <CharactersWithSpaces>130502</CharactersWithSpaces>
  <SharedDoc>false</SharedDoc>
  <HLinks>
    <vt:vector size="12" baseType="variant">
      <vt:variant>
        <vt:i4>2228274</vt:i4>
      </vt:variant>
      <vt:variant>
        <vt:i4>3</vt:i4>
      </vt:variant>
      <vt:variant>
        <vt:i4>0</vt:i4>
      </vt:variant>
      <vt:variant>
        <vt:i4>5</vt:i4>
      </vt:variant>
      <vt:variant>
        <vt:lpwstr>https://stm.sciencemag.org/content/information-authors</vt:lpwstr>
      </vt:variant>
      <vt:variant>
        <vt:lpwstr/>
      </vt:variant>
      <vt:variant>
        <vt:i4>2883708</vt:i4>
      </vt:variant>
      <vt:variant>
        <vt:i4>0</vt:i4>
      </vt:variant>
      <vt:variant>
        <vt:i4>0</vt:i4>
      </vt:variant>
      <vt:variant>
        <vt:i4>5</vt:i4>
      </vt:variant>
      <vt:variant>
        <vt:lpwstr>https://cts.sciencemag.org/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Science Manuscript Template</dc:title>
  <dc:subject/>
  <dc:creator>bhanson</dc:creator>
  <cp:keywords/>
  <cp:lastModifiedBy>Jennifer Lynn Wilson</cp:lastModifiedBy>
  <cp:revision>5</cp:revision>
  <cp:lastPrinted>2022-03-17T04:11:00Z</cp:lastPrinted>
  <dcterms:created xsi:type="dcterms:W3CDTF">2022-03-17T03:26:00Z</dcterms:created>
  <dcterms:modified xsi:type="dcterms:W3CDTF">2022-03-17T04:11:00Z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0x0101009674C7A77CE0514C8EA9972A6AA0B0A5</vt:lpwstr>
  </property>
</Properties>
</file>