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3DD8" w14:textId="5F25FCD4" w:rsidR="00BD6549" w:rsidRPr="00517873" w:rsidRDefault="00083394">
      <w:pPr>
        <w:rPr>
          <w:rFonts w:ascii="Arial" w:hAnsi="Arial" w:cs="Arial"/>
          <w:sz w:val="22"/>
          <w:szCs w:val="22"/>
        </w:rPr>
      </w:pPr>
      <w:r w:rsidRPr="007F5DD8">
        <w:rPr>
          <w:rFonts w:ascii="Arial" w:hAnsi="Arial" w:cs="Arial"/>
          <w:noProof/>
          <w:sz w:val="22"/>
          <w:szCs w:val="22"/>
        </w:rPr>
        <w:object w:dxaOrig="14420" w:dyaOrig="4220" w14:anchorId="38284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35.35pt;height:156.1pt;mso-width-percent:0;mso-height-percent:0;mso-width-percent:0;mso-height-percent:0" o:ole="">
            <v:imagedata r:id="rId4" o:title=""/>
          </v:shape>
          <o:OLEObject Type="Embed" ProgID="Unknown" ShapeID="_x0000_i1028" DrawAspect="Content" ObjectID="_1713346058" r:id="rId5"/>
        </w:object>
      </w:r>
    </w:p>
    <w:p w14:paraId="4F613CD6" w14:textId="6EF771C8" w:rsidR="00517873" w:rsidRDefault="00517873">
      <w:pPr>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sidR="00FA4540">
        <w:rPr>
          <w:rFonts w:ascii="Arial" w:hAnsi="Arial" w:cs="Arial"/>
          <w:b/>
          <w:bCs/>
          <w:sz w:val="22"/>
          <w:szCs w:val="22"/>
        </w:rPr>
        <w:t xml:space="preserve"> </w:t>
      </w:r>
      <w:r w:rsidR="00FA4540">
        <w:rPr>
          <w:rFonts w:ascii="Arial" w:hAnsi="Arial" w:cs="Arial"/>
          <w:sz w:val="22"/>
          <w:szCs w:val="22"/>
        </w:rPr>
        <w:t xml:space="preserve">Mice maintained body weight </w:t>
      </w:r>
      <w:r w:rsidR="00284E67">
        <w:rPr>
          <w:rFonts w:ascii="Arial" w:hAnsi="Arial" w:cs="Arial"/>
          <w:sz w:val="22"/>
          <w:szCs w:val="22"/>
        </w:rPr>
        <w:t>and all mice survived through the study.</w:t>
      </w:r>
      <w:r w:rsidR="003124CF">
        <w:rPr>
          <w:rFonts w:ascii="Arial" w:hAnsi="Arial" w:cs="Arial"/>
          <w:sz w:val="22"/>
          <w:szCs w:val="22"/>
        </w:rPr>
        <w:t xml:space="preserve"> Untreated, non-genetic carriers (NCAR-</w:t>
      </w:r>
      <w:proofErr w:type="spellStart"/>
      <w:r w:rsidR="003124CF">
        <w:rPr>
          <w:rFonts w:ascii="Arial" w:hAnsi="Arial" w:cs="Arial"/>
          <w:sz w:val="22"/>
          <w:szCs w:val="22"/>
        </w:rPr>
        <w:t>Veh</w:t>
      </w:r>
      <w:proofErr w:type="spellEnd"/>
      <w:r w:rsidR="003124CF">
        <w:rPr>
          <w:rFonts w:ascii="Arial" w:hAnsi="Arial" w:cs="Arial"/>
          <w:sz w:val="22"/>
          <w:szCs w:val="22"/>
        </w:rPr>
        <w:t>), untreated, genetic careers (Hemi-</w:t>
      </w:r>
      <w:proofErr w:type="spellStart"/>
      <w:r w:rsidR="003124CF">
        <w:rPr>
          <w:rFonts w:ascii="Arial" w:hAnsi="Arial" w:cs="Arial"/>
          <w:sz w:val="22"/>
          <w:szCs w:val="22"/>
        </w:rPr>
        <w:t>Veh</w:t>
      </w:r>
      <w:proofErr w:type="spellEnd"/>
      <w:r w:rsidR="003124CF">
        <w:rPr>
          <w:rFonts w:ascii="Arial" w:hAnsi="Arial" w:cs="Arial"/>
          <w:sz w:val="22"/>
          <w:szCs w:val="22"/>
        </w:rPr>
        <w:t>), mabuterol-treated, genetic carriers (Hemi-</w:t>
      </w:r>
      <w:proofErr w:type="spellStart"/>
      <w:r w:rsidR="003124CF">
        <w:rPr>
          <w:rFonts w:ascii="Arial" w:hAnsi="Arial" w:cs="Arial"/>
          <w:sz w:val="22"/>
          <w:szCs w:val="22"/>
        </w:rPr>
        <w:t>Maburterol</w:t>
      </w:r>
      <w:proofErr w:type="spellEnd"/>
      <w:r w:rsidR="003124CF">
        <w:rPr>
          <w:rFonts w:ascii="Arial" w:hAnsi="Arial" w:cs="Arial"/>
          <w:sz w:val="22"/>
          <w:szCs w:val="22"/>
        </w:rPr>
        <w:t>)</w:t>
      </w:r>
      <w:r w:rsidR="00D92F1A">
        <w:rPr>
          <w:rFonts w:ascii="Arial" w:hAnsi="Arial" w:cs="Arial"/>
          <w:sz w:val="22"/>
          <w:szCs w:val="22"/>
        </w:rPr>
        <w:t xml:space="preserve"> are represented by blue, red, green, and purple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2D6B878F" w:rsidR="003124CF" w:rsidRDefault="00083394">
      <w:pPr>
        <w:rPr>
          <w:rFonts w:ascii="Arial" w:hAnsi="Arial" w:cs="Arial"/>
          <w:sz w:val="22"/>
          <w:szCs w:val="22"/>
        </w:rPr>
      </w:pPr>
      <w:r w:rsidRPr="007F5DD8">
        <w:rPr>
          <w:rFonts w:ascii="Arial" w:hAnsi="Arial" w:cs="Arial"/>
          <w:noProof/>
          <w:sz w:val="22"/>
          <w:szCs w:val="22"/>
        </w:rPr>
        <w:object w:dxaOrig="12740" w:dyaOrig="7840" w14:anchorId="7D1CE4EA">
          <v:shape id="_x0000_i1027" type="#_x0000_t75" alt="" style="width:523.95pt;height:322.95pt;mso-width-percent:0;mso-height-percent:0;mso-width-percent:0;mso-height-percent:0" o:ole="">
            <v:imagedata r:id="rId6" o:title=""/>
          </v:shape>
          <o:OLEObject Type="Embed" ProgID="Unknown" ShapeID="_x0000_i1027" DrawAspect="Content" ObjectID="_1713346059" r:id="rId7"/>
        </w:object>
      </w:r>
    </w:p>
    <w:p w14:paraId="012038ED" w14:textId="5584CD40" w:rsidR="00D92F1A" w:rsidRDefault="00D92F1A" w:rsidP="00D92F1A">
      <w:pPr>
        <w:rPr>
          <w:rFonts w:ascii="Arial" w:hAnsi="Arial" w:cs="Arial"/>
          <w:sz w:val="22"/>
          <w:szCs w:val="22"/>
        </w:rPr>
      </w:pPr>
      <w:r>
        <w:rPr>
          <w:rFonts w:ascii="Arial" w:hAnsi="Arial" w:cs="Arial"/>
          <w:b/>
          <w:bCs/>
          <w:sz w:val="22"/>
          <w:szCs w:val="22"/>
        </w:rPr>
        <w:t xml:space="preserve">Supplementary Figure </w:t>
      </w:r>
      <w:r w:rsidR="00A5599C">
        <w:rPr>
          <w:rFonts w:ascii="Arial" w:hAnsi="Arial" w:cs="Arial"/>
          <w:b/>
          <w:bCs/>
          <w:sz w:val="22"/>
          <w:szCs w:val="22"/>
        </w:rPr>
        <w:t>2</w:t>
      </w:r>
      <w:r>
        <w:rPr>
          <w:rFonts w:ascii="Arial" w:hAnsi="Arial" w:cs="Arial"/>
          <w:b/>
          <w:bCs/>
          <w:sz w:val="22"/>
          <w:szCs w:val="22"/>
        </w:rPr>
        <w:t xml:space="preserve">. Activity chamber </w:t>
      </w:r>
      <w:r w:rsidR="004006BE">
        <w:rPr>
          <w:rFonts w:ascii="Arial" w:hAnsi="Arial" w:cs="Arial"/>
          <w:b/>
          <w:bCs/>
          <w:sz w:val="22"/>
          <w:szCs w:val="22"/>
        </w:rPr>
        <w:t>time shows no significant differences</w:t>
      </w:r>
      <w:r>
        <w:rPr>
          <w:rFonts w:ascii="Arial" w:hAnsi="Arial" w:cs="Arial"/>
          <w:b/>
          <w:bCs/>
          <w:sz w:val="22"/>
          <w:szCs w:val="22"/>
        </w:rPr>
        <w:t xml:space="preserve"> through the study. </w:t>
      </w:r>
      <w:r>
        <w:rPr>
          <w:rFonts w:ascii="Arial" w:hAnsi="Arial" w:cs="Arial"/>
          <w:sz w:val="22"/>
          <w:szCs w:val="22"/>
        </w:rPr>
        <w:t>We measured the distance moved (upper left), vertical counts (upper right), vertical time (lower left), and total duration of activity (lower right) across the duration of the study and observed no statistically significant differences. Untreated, non-genetic carriers (NCAR-</w:t>
      </w:r>
      <w:proofErr w:type="spellStart"/>
      <w:r>
        <w:rPr>
          <w:rFonts w:ascii="Arial" w:hAnsi="Arial" w:cs="Arial"/>
          <w:sz w:val="22"/>
          <w:szCs w:val="22"/>
        </w:rPr>
        <w:t>Veh</w:t>
      </w:r>
      <w:proofErr w:type="spellEnd"/>
      <w:r>
        <w:rPr>
          <w:rFonts w:ascii="Arial" w:hAnsi="Arial" w:cs="Arial"/>
          <w:sz w:val="22"/>
          <w:szCs w:val="22"/>
        </w:rPr>
        <w:t>), untreated, genetic careers (Hemi-</w:t>
      </w:r>
      <w:proofErr w:type="spellStart"/>
      <w:r>
        <w:rPr>
          <w:rFonts w:ascii="Arial" w:hAnsi="Arial" w:cs="Arial"/>
          <w:sz w:val="22"/>
          <w:szCs w:val="22"/>
        </w:rPr>
        <w:t>Veh</w:t>
      </w:r>
      <w:proofErr w:type="spellEnd"/>
      <w:r>
        <w:rPr>
          <w:rFonts w:ascii="Arial" w:hAnsi="Arial" w:cs="Arial"/>
          <w:sz w:val="22"/>
          <w:szCs w:val="22"/>
        </w:rPr>
        <w:t>), mabuterol-treated, genetic carriers (Hemi-</w:t>
      </w:r>
      <w:proofErr w:type="spellStart"/>
      <w:r>
        <w:rPr>
          <w:rFonts w:ascii="Arial" w:hAnsi="Arial" w:cs="Arial"/>
          <w:sz w:val="22"/>
          <w:szCs w:val="22"/>
        </w:rPr>
        <w:t>Maburterol</w:t>
      </w:r>
      <w:proofErr w:type="spellEnd"/>
      <w:r>
        <w:rPr>
          <w:rFonts w:ascii="Arial" w:hAnsi="Arial" w:cs="Arial"/>
          <w:sz w:val="22"/>
          <w:szCs w:val="22"/>
        </w:rPr>
        <w:t>) are represented by blue, red, green, and purple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79C413BC" w:rsidR="004006BE" w:rsidRDefault="00083394">
      <w:pPr>
        <w:rPr>
          <w:rFonts w:ascii="Arial" w:hAnsi="Arial" w:cs="Arial"/>
          <w:sz w:val="22"/>
          <w:szCs w:val="22"/>
        </w:rPr>
      </w:pPr>
      <w:r w:rsidRPr="007F5DD8">
        <w:rPr>
          <w:rFonts w:ascii="Arial" w:hAnsi="Arial" w:cs="Arial"/>
          <w:noProof/>
          <w:sz w:val="22"/>
          <w:szCs w:val="22"/>
        </w:rPr>
        <w:object w:dxaOrig="14460" w:dyaOrig="3500" w14:anchorId="72361991">
          <v:shape id="_x0000_i1026" type="#_x0000_t75" alt="" style="width:526.8pt;height:127.6pt;mso-width-percent:0;mso-height-percent:0;mso-width-percent:0;mso-height-percent:0" o:ole="">
            <v:imagedata r:id="rId8" o:title=""/>
          </v:shape>
          <o:OLEObject Type="Embed" ProgID="Unknown" ShapeID="_x0000_i1026" DrawAspect="Content" ObjectID="_1713346060" r:id="rId9"/>
        </w:object>
      </w:r>
    </w:p>
    <w:p w14:paraId="683AAABB" w14:textId="004E293D" w:rsidR="004006BE" w:rsidRDefault="00083394">
      <w:pPr>
        <w:rPr>
          <w:rFonts w:ascii="Arial" w:hAnsi="Arial" w:cs="Arial"/>
          <w:sz w:val="22"/>
          <w:szCs w:val="22"/>
        </w:rPr>
      </w:pPr>
      <w:r w:rsidRPr="007F5DD8">
        <w:rPr>
          <w:rFonts w:ascii="Arial" w:hAnsi="Arial" w:cs="Arial"/>
          <w:noProof/>
          <w:sz w:val="22"/>
          <w:szCs w:val="22"/>
        </w:rPr>
        <w:object w:dxaOrig="14560" w:dyaOrig="3680" w14:anchorId="5190C4BA">
          <v:shape id="_x0000_i1025" type="#_x0000_t75" alt="" style="width:533.25pt;height:134.75pt;mso-width-percent:0;mso-height-percent:0;mso-width-percent:0;mso-height-percent:0" o:ole="">
            <v:imagedata r:id="rId10" o:title=""/>
          </v:shape>
          <o:OLEObject Type="Embed" ProgID="Unknown" ShapeID="_x0000_i1025" DrawAspect="Content" ObjectID="_1713346061" r:id="rId11"/>
        </w:object>
      </w:r>
    </w:p>
    <w:p w14:paraId="0B40BA76" w14:textId="77777777" w:rsidR="004006BE" w:rsidRDefault="004006BE">
      <w:pPr>
        <w:rPr>
          <w:rFonts w:ascii="Arial" w:hAnsi="Arial" w:cs="Arial"/>
          <w:sz w:val="22"/>
          <w:szCs w:val="22"/>
        </w:rPr>
      </w:pPr>
    </w:p>
    <w:p w14:paraId="3D3EABD2" w14:textId="6C952F43" w:rsidR="004006BE" w:rsidRDefault="00F13FBA" w:rsidP="004006BE">
      <w:pPr>
        <w:rPr>
          <w:rFonts w:ascii="Arial" w:hAnsi="Arial" w:cs="Arial"/>
          <w:sz w:val="22"/>
          <w:szCs w:val="22"/>
        </w:rPr>
      </w:pPr>
      <w:r w:rsidRPr="004006BE">
        <w:rPr>
          <w:rFonts w:ascii="Arial" w:hAnsi="Arial" w:cs="Arial"/>
          <w:b/>
          <w:bCs/>
          <w:sz w:val="22"/>
          <w:szCs w:val="22"/>
        </w:rPr>
        <w:t xml:space="preserve">Supplementary Figure </w:t>
      </w:r>
      <w:r w:rsidR="00A5599C">
        <w:rPr>
          <w:rFonts w:ascii="Arial" w:hAnsi="Arial" w:cs="Arial"/>
          <w:b/>
          <w:bCs/>
          <w:sz w:val="22"/>
          <w:szCs w:val="22"/>
        </w:rPr>
        <w:t>3</w:t>
      </w:r>
      <w:r w:rsidRPr="004006BE">
        <w:rPr>
          <w:rFonts w:ascii="Arial" w:hAnsi="Arial" w:cs="Arial"/>
          <w:b/>
          <w:bCs/>
          <w:sz w:val="22"/>
          <w:szCs w:val="22"/>
        </w:rPr>
        <w:t xml:space="preserve">. </w:t>
      </w:r>
      <w:r w:rsidR="004006BE" w:rsidRPr="004006BE">
        <w:rPr>
          <w:rFonts w:ascii="Arial" w:hAnsi="Arial" w:cs="Arial"/>
          <w:b/>
          <w:bCs/>
          <w:sz w:val="22"/>
          <w:szCs w:val="22"/>
        </w:rPr>
        <w:t>Y-maze FA shows no difference across treatment groups</w:t>
      </w:r>
      <w:r w:rsidR="004006BE">
        <w:rPr>
          <w:rFonts w:ascii="Arial" w:hAnsi="Arial" w:cs="Arial"/>
          <w:sz w:val="22"/>
          <w:szCs w:val="22"/>
        </w:rPr>
        <w:t>. We measured duration of time in novel and familiar arms at 4 weeks (upper left) and 7 weeks (lower left), total duration of time spent in novel and each familiar arms at 4 weeks (upper middle) and 7 weeks (lower middle), and total duration spent in novel arms and either familiar arm at 4 weeks (upper right) and 7 weeks (lower right). Untreated, non-genetic carriers (NCAR-</w:t>
      </w:r>
      <w:proofErr w:type="spellStart"/>
      <w:r w:rsidR="004006BE">
        <w:rPr>
          <w:rFonts w:ascii="Arial" w:hAnsi="Arial" w:cs="Arial"/>
          <w:sz w:val="22"/>
          <w:szCs w:val="22"/>
        </w:rPr>
        <w:t>Veh</w:t>
      </w:r>
      <w:proofErr w:type="spellEnd"/>
      <w:r w:rsidR="004006BE">
        <w:rPr>
          <w:rFonts w:ascii="Arial" w:hAnsi="Arial" w:cs="Arial"/>
          <w:sz w:val="22"/>
          <w:szCs w:val="22"/>
        </w:rPr>
        <w:t>), untreated, genetic careers (Hemi-</w:t>
      </w:r>
      <w:proofErr w:type="spellStart"/>
      <w:r w:rsidR="004006BE">
        <w:rPr>
          <w:rFonts w:ascii="Arial" w:hAnsi="Arial" w:cs="Arial"/>
          <w:sz w:val="22"/>
          <w:szCs w:val="22"/>
        </w:rPr>
        <w:t>Veh</w:t>
      </w:r>
      <w:proofErr w:type="spellEnd"/>
      <w:r w:rsidR="004006BE">
        <w:rPr>
          <w:rFonts w:ascii="Arial" w:hAnsi="Arial" w:cs="Arial"/>
          <w:sz w:val="22"/>
          <w:szCs w:val="22"/>
        </w:rPr>
        <w:t>), mabuterol-treated, genetic carriers (Hemi-</w:t>
      </w:r>
      <w:proofErr w:type="spellStart"/>
      <w:r w:rsidR="004006BE">
        <w:rPr>
          <w:rFonts w:ascii="Arial" w:hAnsi="Arial" w:cs="Arial"/>
          <w:sz w:val="22"/>
          <w:szCs w:val="22"/>
        </w:rPr>
        <w:t>Maburterol</w:t>
      </w:r>
      <w:proofErr w:type="spellEnd"/>
      <w:r w:rsidR="004006BE">
        <w:rPr>
          <w:rFonts w:ascii="Arial" w:hAnsi="Arial" w:cs="Arial"/>
          <w:sz w:val="22"/>
          <w:szCs w:val="22"/>
        </w:rPr>
        <w:t>) are represented by blue, red, green, and purple data curves.</w:t>
      </w:r>
    </w:p>
    <w:p w14:paraId="72799A8C" w14:textId="3E2AF082" w:rsidR="00EE7574" w:rsidRDefault="00EE7574" w:rsidP="004006BE">
      <w:pPr>
        <w:rPr>
          <w:rFonts w:ascii="Arial" w:hAnsi="Arial" w:cs="Arial"/>
          <w:sz w:val="22"/>
          <w:szCs w:val="22"/>
        </w:rPr>
      </w:pPr>
    </w:p>
    <w:p w14:paraId="3780D036" w14:textId="34CAEC04" w:rsidR="00EE7574" w:rsidRDefault="00595EF3"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67CD30A4" wp14:editId="52C17FCB">
            <wp:extent cx="3759200" cy="76454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9200" cy="7645400"/>
                    </a:xfrm>
                    <a:prstGeom prst="rect">
                      <a:avLst/>
                    </a:prstGeom>
                  </pic:spPr>
                </pic:pic>
              </a:graphicData>
            </a:graphic>
          </wp:inline>
        </w:drawing>
      </w:r>
    </w:p>
    <w:p w14:paraId="7657EE15" w14:textId="77777777" w:rsidR="009F3CF9" w:rsidRDefault="009F3CF9" w:rsidP="004006BE">
      <w:pPr>
        <w:rPr>
          <w:rFonts w:ascii="Arial" w:hAnsi="Arial" w:cs="Arial"/>
          <w:b/>
          <w:bCs/>
          <w:sz w:val="22"/>
          <w:szCs w:val="22"/>
        </w:rPr>
      </w:pPr>
    </w:p>
    <w:p w14:paraId="10598A9D" w14:textId="7AE0C1CB" w:rsidR="00EE7574" w:rsidRPr="00FE7808" w:rsidRDefault="00EE7574" w:rsidP="004006BE">
      <w:pPr>
        <w:rPr>
          <w:rFonts w:ascii="Arial" w:hAnsi="Arial" w:cs="Arial"/>
          <w:sz w:val="22"/>
          <w:szCs w:val="22"/>
        </w:rPr>
      </w:pPr>
      <w:r>
        <w:rPr>
          <w:rFonts w:ascii="Arial" w:hAnsi="Arial" w:cs="Arial"/>
          <w:b/>
          <w:bCs/>
          <w:sz w:val="22"/>
          <w:szCs w:val="22"/>
        </w:rPr>
        <w:t xml:space="preserve">Supplementary Figure </w:t>
      </w:r>
      <w:r w:rsidR="00A5599C">
        <w:rPr>
          <w:rFonts w:ascii="Arial" w:hAnsi="Arial" w:cs="Arial"/>
          <w:b/>
          <w:bCs/>
          <w:sz w:val="22"/>
          <w:szCs w:val="22"/>
        </w:rPr>
        <w:t>4.</w:t>
      </w:r>
      <w:r>
        <w:rPr>
          <w:rFonts w:ascii="Arial" w:hAnsi="Arial" w:cs="Arial"/>
          <w:b/>
          <w:bCs/>
          <w:sz w:val="22"/>
          <w:szCs w:val="22"/>
        </w:rPr>
        <w:t xml:space="preserve"> Protein level changes varied across treatment group. </w:t>
      </w:r>
      <w:r w:rsidR="00FE7808">
        <w:rPr>
          <w:rFonts w:ascii="Arial" w:hAnsi="Arial" w:cs="Arial"/>
          <w:sz w:val="22"/>
          <w:szCs w:val="22"/>
        </w:rPr>
        <w:t>Protein level changes and their significance were assess for propranolol-treated mice compared to vehicle treated (</w:t>
      </w:r>
      <w:proofErr w:type="gramStart"/>
      <w:r w:rsidR="00FE7808">
        <w:rPr>
          <w:rFonts w:ascii="Arial" w:hAnsi="Arial" w:cs="Arial"/>
          <w:b/>
          <w:bCs/>
          <w:sz w:val="22"/>
          <w:szCs w:val="22"/>
        </w:rPr>
        <w:t>A</w:t>
      </w:r>
      <w:r w:rsidR="00FE7808" w:rsidRPr="00FE7808">
        <w:rPr>
          <w:rFonts w:ascii="Arial" w:hAnsi="Arial" w:cs="Arial"/>
          <w:sz w:val="22"/>
          <w:szCs w:val="22"/>
        </w:rPr>
        <w:t>,</w:t>
      </w:r>
      <w:r w:rsidR="00FE7808">
        <w:rPr>
          <w:rFonts w:ascii="Arial" w:hAnsi="Arial" w:cs="Arial"/>
          <w:b/>
          <w:bCs/>
          <w:sz w:val="22"/>
          <w:szCs w:val="22"/>
        </w:rPr>
        <w:t>B</w:t>
      </w:r>
      <w:proofErr w:type="gramEnd"/>
      <w:r w:rsidR="00FE7808">
        <w:rPr>
          <w:rFonts w:ascii="Arial" w:hAnsi="Arial" w:cs="Arial"/>
          <w:sz w:val="22"/>
          <w:szCs w:val="22"/>
        </w:rPr>
        <w:t xml:space="preserve">) and </w:t>
      </w:r>
      <w:r w:rsidR="00BD39F1">
        <w:rPr>
          <w:rFonts w:ascii="Arial" w:hAnsi="Arial" w:cs="Arial"/>
          <w:sz w:val="22"/>
          <w:szCs w:val="22"/>
        </w:rPr>
        <w:t>vehicle</w:t>
      </w:r>
      <w:r w:rsidR="00FE7808">
        <w:rPr>
          <w:rFonts w:ascii="Arial" w:hAnsi="Arial" w:cs="Arial"/>
          <w:sz w:val="22"/>
          <w:szCs w:val="22"/>
        </w:rPr>
        <w:t>-treated compared to non-carrier mice (</w:t>
      </w:r>
      <w:r w:rsidR="00FE7808" w:rsidRPr="00FE7808">
        <w:rPr>
          <w:rFonts w:ascii="Arial" w:hAnsi="Arial" w:cs="Arial"/>
          <w:b/>
          <w:bCs/>
          <w:sz w:val="22"/>
          <w:szCs w:val="22"/>
        </w:rPr>
        <w:t>C</w:t>
      </w:r>
      <w:r w:rsidR="00FE7808">
        <w:rPr>
          <w:rFonts w:ascii="Arial" w:hAnsi="Arial" w:cs="Arial"/>
          <w:sz w:val="22"/>
          <w:szCs w:val="22"/>
        </w:rPr>
        <w:t>,</w:t>
      </w:r>
      <w:r w:rsidR="00FE7808" w:rsidRPr="00FE7808">
        <w:rPr>
          <w:rFonts w:ascii="Arial" w:hAnsi="Arial" w:cs="Arial"/>
          <w:b/>
          <w:bCs/>
          <w:sz w:val="22"/>
          <w:szCs w:val="22"/>
        </w:rPr>
        <w:t>D</w:t>
      </w:r>
      <w:r w:rsidR="00FE7808">
        <w:rPr>
          <w:rFonts w:ascii="Arial" w:hAnsi="Arial" w:cs="Arial"/>
          <w:sz w:val="22"/>
          <w:szCs w:val="22"/>
        </w:rPr>
        <w:t>)</w:t>
      </w:r>
      <w:r w:rsidR="00BD39F1">
        <w:rPr>
          <w:rFonts w:ascii="Arial" w:hAnsi="Arial" w:cs="Arial"/>
          <w:sz w:val="22"/>
          <w:szCs w:val="22"/>
        </w:rPr>
        <w:t>. Blue and red bars indicate down- and up- regulated proteins respectively.</w:t>
      </w:r>
    </w:p>
    <w:p w14:paraId="6D13BB4F" w14:textId="1C35434C" w:rsidR="00A5599C" w:rsidRDefault="000A233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42637F52" wp14:editId="01D95D01">
            <wp:extent cx="5092700" cy="51054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2700" cy="5105400"/>
                    </a:xfrm>
                    <a:prstGeom prst="rect">
                      <a:avLst/>
                    </a:prstGeom>
                  </pic:spPr>
                </pic:pic>
              </a:graphicData>
            </a:graphic>
          </wp:inline>
        </w:drawing>
      </w:r>
    </w:p>
    <w:p w14:paraId="2934221A" w14:textId="030A0BC9" w:rsidR="00A5599C" w:rsidRPr="000A2336" w:rsidRDefault="00A5599C" w:rsidP="004006BE">
      <w:pPr>
        <w:rPr>
          <w:rFonts w:ascii="Arial" w:hAnsi="Arial" w:cs="Arial"/>
          <w:sz w:val="22"/>
          <w:szCs w:val="22"/>
        </w:rPr>
      </w:pPr>
      <w:r>
        <w:rPr>
          <w:rFonts w:ascii="Arial" w:hAnsi="Arial" w:cs="Arial"/>
          <w:b/>
          <w:bCs/>
          <w:sz w:val="22"/>
          <w:szCs w:val="22"/>
        </w:rPr>
        <w:t>Supplementary Figure 5. ELISA measured cytokine differences across treatment groups</w:t>
      </w:r>
      <w:r w:rsidR="000A2336">
        <w:rPr>
          <w:rFonts w:ascii="Arial" w:hAnsi="Arial" w:cs="Arial"/>
          <w:b/>
          <w:bCs/>
          <w:sz w:val="22"/>
          <w:szCs w:val="22"/>
        </w:rPr>
        <w:t xml:space="preserve">. </w:t>
      </w:r>
      <w:r w:rsidR="000A2336">
        <w:rPr>
          <w:rFonts w:ascii="Arial" w:hAnsi="Arial" w:cs="Arial"/>
          <w:sz w:val="22"/>
          <w:szCs w:val="22"/>
        </w:rPr>
        <w:t>We measured changes in cytokine levels using ELISA comparing 5xFAD carrier to non-carriers (</w:t>
      </w:r>
      <w:r w:rsidR="000A2336">
        <w:rPr>
          <w:rFonts w:ascii="Arial" w:hAnsi="Arial" w:cs="Arial"/>
          <w:b/>
          <w:bCs/>
          <w:sz w:val="22"/>
          <w:szCs w:val="22"/>
        </w:rPr>
        <w:t>A</w:t>
      </w:r>
      <w:r w:rsidR="000A2336">
        <w:rPr>
          <w:rFonts w:ascii="Arial" w:hAnsi="Arial" w:cs="Arial"/>
          <w:sz w:val="22"/>
          <w:szCs w:val="22"/>
        </w:rPr>
        <w:t>) and comparing propranolol-treated to untreated mice (</w:t>
      </w:r>
      <w:r w:rsidR="000A2336">
        <w:rPr>
          <w:rFonts w:ascii="Arial" w:hAnsi="Arial" w:cs="Arial"/>
          <w:b/>
          <w:bCs/>
          <w:sz w:val="22"/>
          <w:szCs w:val="22"/>
        </w:rPr>
        <w:t>B</w:t>
      </w:r>
      <w:r w:rsidR="000A2336">
        <w:rPr>
          <w:rFonts w:ascii="Arial" w:hAnsi="Arial" w:cs="Arial"/>
          <w:sz w:val="22"/>
          <w:szCs w:val="22"/>
        </w:rPr>
        <w:t>).</w:t>
      </w:r>
    </w:p>
    <w:p w14:paraId="21115CE2" w14:textId="6B2DD4AE" w:rsidR="00A5599C" w:rsidRDefault="00A5599C" w:rsidP="004006BE">
      <w:pPr>
        <w:rPr>
          <w:rFonts w:ascii="Arial" w:hAnsi="Arial" w:cs="Arial"/>
          <w:b/>
          <w:bCs/>
          <w:sz w:val="22"/>
          <w:szCs w:val="22"/>
        </w:rPr>
      </w:pPr>
    </w:p>
    <w:p w14:paraId="58450222" w14:textId="384575A5" w:rsidR="00517581" w:rsidRDefault="00517581"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BBF1813" wp14:editId="7B1AAC6D">
            <wp:extent cx="6287770" cy="9144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7770" cy="9144000"/>
                    </a:xfrm>
                    <a:prstGeom prst="rect">
                      <a:avLst/>
                    </a:prstGeom>
                  </pic:spPr>
                </pic:pic>
              </a:graphicData>
            </a:graphic>
          </wp:inline>
        </w:drawing>
      </w:r>
    </w:p>
    <w:p w14:paraId="5CB9E9C5" w14:textId="7CB9164E" w:rsidR="00A5599C" w:rsidRPr="005C50AD" w:rsidRDefault="00A5599C" w:rsidP="004006BE">
      <w:pPr>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Targeted western blot analysis did not uncover protein level changes in a handful of selected proteins.</w:t>
      </w:r>
      <w:r w:rsidR="005C50AD">
        <w:rPr>
          <w:rFonts w:ascii="Arial" w:hAnsi="Arial" w:cs="Arial"/>
          <w:b/>
          <w:bCs/>
          <w:sz w:val="22"/>
          <w:szCs w:val="22"/>
        </w:rPr>
        <w:t xml:space="preserve"> </w:t>
      </w:r>
      <w:r w:rsidR="005C50AD">
        <w:rPr>
          <w:rFonts w:ascii="Arial" w:hAnsi="Arial" w:cs="Arial"/>
          <w:sz w:val="22"/>
          <w:szCs w:val="22"/>
        </w:rPr>
        <w:t>We analyzed protein level changes for Akt (</w:t>
      </w:r>
      <w:r w:rsidR="005C50AD" w:rsidRPr="005C50AD">
        <w:rPr>
          <w:rFonts w:ascii="Arial" w:hAnsi="Arial" w:cs="Arial"/>
          <w:b/>
          <w:bCs/>
          <w:sz w:val="22"/>
          <w:szCs w:val="22"/>
        </w:rPr>
        <w:t>A</w:t>
      </w:r>
      <w:r w:rsidR="005C50AD">
        <w:rPr>
          <w:rFonts w:ascii="Arial" w:hAnsi="Arial" w:cs="Arial"/>
          <w:sz w:val="22"/>
          <w:szCs w:val="22"/>
        </w:rPr>
        <w:t>), Atg5 (</w:t>
      </w:r>
      <w:r w:rsidR="005C50AD">
        <w:rPr>
          <w:rFonts w:ascii="Arial" w:hAnsi="Arial" w:cs="Arial"/>
          <w:b/>
          <w:bCs/>
          <w:sz w:val="22"/>
          <w:szCs w:val="22"/>
        </w:rPr>
        <w:t>B</w:t>
      </w:r>
      <w:r w:rsidR="005C50AD">
        <w:rPr>
          <w:rFonts w:ascii="Arial" w:hAnsi="Arial" w:cs="Arial"/>
          <w:sz w:val="22"/>
          <w:szCs w:val="22"/>
        </w:rPr>
        <w:t>), GluA1 (</w:t>
      </w:r>
      <w:r w:rsidR="005C50AD">
        <w:rPr>
          <w:rFonts w:ascii="Arial" w:hAnsi="Arial" w:cs="Arial"/>
          <w:b/>
          <w:bCs/>
          <w:sz w:val="22"/>
          <w:szCs w:val="22"/>
        </w:rPr>
        <w:t>C</w:t>
      </w:r>
      <w:r w:rsidR="005C50AD">
        <w:rPr>
          <w:rFonts w:ascii="Arial" w:hAnsi="Arial" w:cs="Arial"/>
          <w:sz w:val="22"/>
          <w:szCs w:val="22"/>
        </w:rPr>
        <w:t xml:space="preserve">), </w:t>
      </w:r>
      <w:proofErr w:type="spellStart"/>
      <w:r w:rsidR="005C50AD">
        <w:rPr>
          <w:rFonts w:ascii="Arial" w:hAnsi="Arial" w:cs="Arial"/>
          <w:sz w:val="22"/>
          <w:szCs w:val="22"/>
        </w:rPr>
        <w:t>Synapsin</w:t>
      </w:r>
      <w:proofErr w:type="spellEnd"/>
      <w:r w:rsidR="005C50AD">
        <w:rPr>
          <w:rFonts w:ascii="Arial" w:hAnsi="Arial" w:cs="Arial"/>
          <w:sz w:val="22"/>
          <w:szCs w:val="22"/>
        </w:rPr>
        <w:t xml:space="preserve"> I (</w:t>
      </w:r>
      <w:r w:rsidR="005C50AD">
        <w:rPr>
          <w:rFonts w:ascii="Arial" w:hAnsi="Arial" w:cs="Arial"/>
          <w:b/>
          <w:bCs/>
          <w:sz w:val="22"/>
          <w:szCs w:val="22"/>
        </w:rPr>
        <w:t>D</w:t>
      </w:r>
      <w:r w:rsidR="005C50AD">
        <w:rPr>
          <w:rFonts w:ascii="Arial" w:hAnsi="Arial" w:cs="Arial"/>
          <w:sz w:val="22"/>
          <w:szCs w:val="22"/>
        </w:rPr>
        <w:t>), DAPK1 (</w:t>
      </w:r>
      <w:r w:rsidR="005C50AD">
        <w:rPr>
          <w:rFonts w:ascii="Arial" w:hAnsi="Arial" w:cs="Arial"/>
          <w:b/>
          <w:bCs/>
          <w:sz w:val="22"/>
          <w:szCs w:val="22"/>
        </w:rPr>
        <w:t>E</w:t>
      </w:r>
      <w:r w:rsidR="005C50AD">
        <w:rPr>
          <w:rFonts w:ascii="Arial" w:hAnsi="Arial" w:cs="Arial"/>
          <w:sz w:val="22"/>
          <w:szCs w:val="22"/>
        </w:rPr>
        <w:t>), NR2B (</w:t>
      </w:r>
      <w:r w:rsidR="005C50AD">
        <w:rPr>
          <w:rFonts w:ascii="Arial" w:hAnsi="Arial" w:cs="Arial"/>
          <w:b/>
          <w:bCs/>
          <w:sz w:val="22"/>
          <w:szCs w:val="22"/>
        </w:rPr>
        <w:t>F</w:t>
      </w:r>
      <w:r w:rsidR="005C50AD">
        <w:rPr>
          <w:rFonts w:ascii="Arial" w:hAnsi="Arial" w:cs="Arial"/>
          <w:sz w:val="22"/>
          <w:szCs w:val="22"/>
        </w:rPr>
        <w:t xml:space="preserve">), </w:t>
      </w:r>
      <w:proofErr w:type="spellStart"/>
      <w:r w:rsidR="005C50AD">
        <w:rPr>
          <w:rFonts w:ascii="Arial" w:hAnsi="Arial" w:cs="Arial"/>
          <w:sz w:val="22"/>
          <w:szCs w:val="22"/>
        </w:rPr>
        <w:t>phosoDAPK</w:t>
      </w:r>
      <w:proofErr w:type="spellEnd"/>
      <w:r w:rsidR="005C50AD">
        <w:rPr>
          <w:rFonts w:ascii="Arial" w:hAnsi="Arial" w:cs="Arial"/>
          <w:sz w:val="22"/>
          <w:szCs w:val="22"/>
        </w:rPr>
        <w:t xml:space="preserve"> on serine 308 (“</w:t>
      </w:r>
      <w:proofErr w:type="spellStart"/>
      <w:r w:rsidR="005C50AD">
        <w:rPr>
          <w:rFonts w:ascii="Arial" w:hAnsi="Arial" w:cs="Arial"/>
          <w:sz w:val="22"/>
          <w:szCs w:val="22"/>
        </w:rPr>
        <w:t>pDAPK</w:t>
      </w:r>
      <w:proofErr w:type="spellEnd"/>
      <w:proofErr w:type="gramStart"/>
      <w:r w:rsidR="005C50AD">
        <w:rPr>
          <w:rFonts w:ascii="Arial" w:hAnsi="Arial" w:cs="Arial"/>
          <w:sz w:val="22"/>
          <w:szCs w:val="22"/>
        </w:rPr>
        <w:t>”)(</w:t>
      </w:r>
      <w:proofErr w:type="gramEnd"/>
      <w:r w:rsidR="005C50AD">
        <w:rPr>
          <w:rFonts w:ascii="Arial" w:hAnsi="Arial" w:cs="Arial"/>
          <w:b/>
          <w:bCs/>
          <w:sz w:val="22"/>
          <w:szCs w:val="22"/>
        </w:rPr>
        <w:t>G</w:t>
      </w:r>
      <w:r w:rsidR="005C50AD">
        <w:rPr>
          <w:rFonts w:ascii="Arial" w:hAnsi="Arial" w:cs="Arial"/>
          <w:sz w:val="22"/>
          <w:szCs w:val="22"/>
        </w:rPr>
        <w:t xml:space="preserve">), </w:t>
      </w:r>
      <w:proofErr w:type="spellStart"/>
      <w:r w:rsidR="005C50AD">
        <w:rPr>
          <w:rFonts w:ascii="Arial" w:hAnsi="Arial" w:cs="Arial"/>
          <w:sz w:val="22"/>
          <w:szCs w:val="22"/>
        </w:rPr>
        <w:t>phosphoDAPK</w:t>
      </w:r>
      <w:proofErr w:type="spellEnd"/>
      <w:r w:rsidR="005C50AD">
        <w:rPr>
          <w:rFonts w:ascii="Arial" w:hAnsi="Arial" w:cs="Arial"/>
          <w:sz w:val="22"/>
          <w:szCs w:val="22"/>
        </w:rPr>
        <w:t xml:space="preserve"> normalized to DAPK1 (</w:t>
      </w:r>
      <w:r w:rsidR="005C50AD">
        <w:rPr>
          <w:rFonts w:ascii="Arial" w:hAnsi="Arial" w:cs="Arial"/>
          <w:b/>
          <w:bCs/>
          <w:sz w:val="22"/>
          <w:szCs w:val="22"/>
        </w:rPr>
        <w:t>H</w:t>
      </w:r>
      <w:r w:rsidR="005C50AD">
        <w:rPr>
          <w:rFonts w:ascii="Arial" w:hAnsi="Arial" w:cs="Arial"/>
          <w:sz w:val="22"/>
          <w:szCs w:val="22"/>
        </w:rPr>
        <w:t>), PSD95 for the top (</w:t>
      </w:r>
      <w:r w:rsidR="005C50AD">
        <w:rPr>
          <w:rFonts w:ascii="Arial" w:hAnsi="Arial" w:cs="Arial"/>
          <w:b/>
          <w:bCs/>
          <w:sz w:val="22"/>
          <w:szCs w:val="22"/>
        </w:rPr>
        <w:t>I</w:t>
      </w:r>
      <w:r w:rsidR="005C50AD">
        <w:rPr>
          <w:rFonts w:ascii="Arial" w:hAnsi="Arial" w:cs="Arial"/>
          <w:sz w:val="22"/>
          <w:szCs w:val="22"/>
        </w:rPr>
        <w:t>), combined (</w:t>
      </w:r>
      <w:r w:rsidR="005C50AD">
        <w:rPr>
          <w:rFonts w:ascii="Arial" w:hAnsi="Arial" w:cs="Arial"/>
          <w:b/>
          <w:bCs/>
          <w:sz w:val="22"/>
          <w:szCs w:val="22"/>
        </w:rPr>
        <w:t>J</w:t>
      </w:r>
      <w:r w:rsidR="005C50AD">
        <w:rPr>
          <w:rFonts w:ascii="Arial" w:hAnsi="Arial" w:cs="Arial"/>
          <w:sz w:val="22"/>
          <w:szCs w:val="22"/>
        </w:rPr>
        <w:t>), and bottom (</w:t>
      </w:r>
      <w:r w:rsidR="005C50AD">
        <w:rPr>
          <w:rFonts w:ascii="Arial" w:hAnsi="Arial" w:cs="Arial"/>
          <w:b/>
          <w:bCs/>
          <w:sz w:val="22"/>
          <w:szCs w:val="22"/>
        </w:rPr>
        <w:t>M</w:t>
      </w:r>
      <w:r w:rsidR="005C50AD">
        <w:rPr>
          <w:rFonts w:ascii="Arial" w:hAnsi="Arial" w:cs="Arial"/>
          <w:sz w:val="22"/>
          <w:szCs w:val="22"/>
        </w:rPr>
        <w:t>) bands, LC3-I (</w:t>
      </w:r>
      <w:r w:rsidR="005C50AD">
        <w:rPr>
          <w:rFonts w:ascii="Arial" w:hAnsi="Arial" w:cs="Arial"/>
          <w:b/>
          <w:bCs/>
          <w:sz w:val="22"/>
          <w:szCs w:val="22"/>
        </w:rPr>
        <w:t>K</w:t>
      </w:r>
      <w:r w:rsidR="005C50AD">
        <w:rPr>
          <w:rFonts w:ascii="Arial" w:hAnsi="Arial" w:cs="Arial"/>
          <w:sz w:val="22"/>
          <w:szCs w:val="22"/>
        </w:rPr>
        <w:t>), and LC3-II (</w:t>
      </w:r>
      <w:r w:rsidR="005C50AD">
        <w:rPr>
          <w:rFonts w:ascii="Arial" w:hAnsi="Arial" w:cs="Arial"/>
          <w:b/>
          <w:bCs/>
          <w:sz w:val="22"/>
          <w:szCs w:val="22"/>
        </w:rPr>
        <w:t>L</w:t>
      </w:r>
      <w:r w:rsidR="005C50AD">
        <w:rPr>
          <w:rFonts w:ascii="Arial" w:hAnsi="Arial" w:cs="Arial"/>
          <w:sz w:val="22"/>
          <w:szCs w:val="22"/>
        </w:rPr>
        <w:t xml:space="preserve">). </w:t>
      </w:r>
      <w:r w:rsidR="00803356">
        <w:rPr>
          <w:rFonts w:ascii="Arial" w:hAnsi="Arial" w:cs="Arial"/>
          <w:sz w:val="22"/>
          <w:szCs w:val="22"/>
        </w:rPr>
        <w:t>Except for</w:t>
      </w:r>
      <w:r w:rsidR="005C50AD">
        <w:rPr>
          <w:rFonts w:ascii="Arial" w:hAnsi="Arial" w:cs="Arial"/>
          <w:sz w:val="22"/>
          <w:szCs w:val="22"/>
        </w:rPr>
        <w:t xml:space="preserve"> (</w:t>
      </w:r>
      <w:r w:rsidR="00DA11CE">
        <w:rPr>
          <w:rFonts w:ascii="Arial" w:hAnsi="Arial" w:cs="Arial"/>
          <w:b/>
          <w:bCs/>
          <w:sz w:val="22"/>
          <w:szCs w:val="22"/>
        </w:rPr>
        <w:t>H</w:t>
      </w:r>
      <w:r w:rsidR="00DA11CE">
        <w:rPr>
          <w:rFonts w:ascii="Arial" w:hAnsi="Arial" w:cs="Arial"/>
          <w:sz w:val="22"/>
          <w:szCs w:val="22"/>
        </w:rPr>
        <w:t>), all values are shown normalized to alpha tubulin. Non-carriers</w:t>
      </w:r>
      <w:r w:rsidR="00803356">
        <w:rPr>
          <w:rFonts w:ascii="Arial" w:hAnsi="Arial" w:cs="Arial"/>
          <w:sz w:val="22"/>
          <w:szCs w:val="22"/>
        </w:rPr>
        <w:t xml:space="preserve">, vehicle, mabuterol, and propranolol groups are shown in blue, red, green, and purple respectively. </w:t>
      </w:r>
    </w:p>
    <w:p w14:paraId="1ED8AC3B" w14:textId="47ED15AF" w:rsidR="00233C85" w:rsidRDefault="00233C85" w:rsidP="004006BE">
      <w:pPr>
        <w:rPr>
          <w:rFonts w:ascii="Arial" w:hAnsi="Arial" w:cs="Arial"/>
          <w:b/>
          <w:bCs/>
          <w:sz w:val="22"/>
          <w:szCs w:val="22"/>
        </w:rPr>
      </w:pPr>
    </w:p>
    <w:p w14:paraId="6D65A2CD" w14:textId="6F239692" w:rsidR="00233C85" w:rsidRDefault="00233C85">
      <w:pPr>
        <w:rPr>
          <w:rFonts w:ascii="Arial" w:hAnsi="Arial" w:cs="Arial"/>
          <w:b/>
          <w:bCs/>
          <w:sz w:val="22"/>
          <w:szCs w:val="22"/>
        </w:rPr>
      </w:pPr>
      <w:r>
        <w:rPr>
          <w:rFonts w:ascii="Arial" w:hAnsi="Arial" w:cs="Arial"/>
          <w:b/>
          <w:bCs/>
          <w:sz w:val="22"/>
          <w:szCs w:val="22"/>
        </w:rPr>
        <w:br w:type="page"/>
      </w:r>
    </w:p>
    <w:p w14:paraId="3AAE6B42" w14:textId="77777777"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p>
    <w:p w14:paraId="435441DF" w14:textId="77777777" w:rsidR="00233C85" w:rsidRDefault="00233C85" w:rsidP="004006BE">
      <w:pPr>
        <w:rPr>
          <w:rFonts w:ascii="Arial" w:hAnsi="Arial" w:cs="Arial"/>
          <w:b/>
          <w:bCs/>
          <w:sz w:val="22"/>
          <w:szCs w:val="22"/>
        </w:rPr>
      </w:pPr>
    </w:p>
    <w:tbl>
      <w:tblPr>
        <w:tblW w:w="14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331"/>
        <w:gridCol w:w="1120"/>
        <w:gridCol w:w="1300"/>
        <w:gridCol w:w="1300"/>
        <w:gridCol w:w="773"/>
        <w:gridCol w:w="661"/>
        <w:gridCol w:w="500"/>
        <w:gridCol w:w="500"/>
        <w:gridCol w:w="4176"/>
      </w:tblGrid>
      <w:tr w:rsidR="00233C85" w:rsidRPr="00233C85" w14:paraId="300BB4E3" w14:textId="77777777" w:rsidTr="00233C85">
        <w:trPr>
          <w:trHeight w:val="320"/>
        </w:trPr>
        <w:tc>
          <w:tcPr>
            <w:tcW w:w="1362" w:type="dxa"/>
            <w:shd w:val="clear" w:color="auto" w:fill="auto"/>
            <w:noWrap/>
            <w:vAlign w:val="bottom"/>
            <w:hideMark/>
          </w:tcPr>
          <w:p w14:paraId="5E5D92EF"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 Term</w:t>
            </w:r>
          </w:p>
        </w:tc>
        <w:tc>
          <w:tcPr>
            <w:tcW w:w="2331" w:type="dxa"/>
            <w:shd w:val="clear" w:color="auto" w:fill="auto"/>
            <w:vAlign w:val="bottom"/>
            <w:hideMark/>
          </w:tcPr>
          <w:p w14:paraId="46DABFE7"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Description</w:t>
            </w:r>
          </w:p>
        </w:tc>
        <w:tc>
          <w:tcPr>
            <w:tcW w:w="1120" w:type="dxa"/>
            <w:shd w:val="clear" w:color="auto" w:fill="auto"/>
            <w:noWrap/>
            <w:vAlign w:val="bottom"/>
            <w:hideMark/>
          </w:tcPr>
          <w:p w14:paraId="5100DC0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P-value</w:t>
            </w:r>
          </w:p>
        </w:tc>
        <w:tc>
          <w:tcPr>
            <w:tcW w:w="1300" w:type="dxa"/>
            <w:shd w:val="clear" w:color="auto" w:fill="auto"/>
            <w:noWrap/>
            <w:vAlign w:val="bottom"/>
            <w:hideMark/>
          </w:tcPr>
          <w:p w14:paraId="2905F3F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FDR q-value</w:t>
            </w:r>
          </w:p>
        </w:tc>
        <w:tc>
          <w:tcPr>
            <w:tcW w:w="1300" w:type="dxa"/>
            <w:shd w:val="clear" w:color="auto" w:fill="auto"/>
            <w:noWrap/>
            <w:vAlign w:val="bottom"/>
            <w:hideMark/>
          </w:tcPr>
          <w:p w14:paraId="646C9155"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Enrichment</w:t>
            </w:r>
          </w:p>
        </w:tc>
        <w:tc>
          <w:tcPr>
            <w:tcW w:w="773" w:type="dxa"/>
            <w:shd w:val="clear" w:color="auto" w:fill="auto"/>
            <w:noWrap/>
            <w:vAlign w:val="bottom"/>
            <w:hideMark/>
          </w:tcPr>
          <w:p w14:paraId="341064D6"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N</w:t>
            </w:r>
          </w:p>
        </w:tc>
        <w:tc>
          <w:tcPr>
            <w:tcW w:w="661" w:type="dxa"/>
            <w:shd w:val="clear" w:color="auto" w:fill="auto"/>
            <w:noWrap/>
            <w:vAlign w:val="bottom"/>
            <w:hideMark/>
          </w:tcPr>
          <w:p w14:paraId="73F9425A"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B</w:t>
            </w:r>
          </w:p>
        </w:tc>
        <w:tc>
          <w:tcPr>
            <w:tcW w:w="500" w:type="dxa"/>
            <w:shd w:val="clear" w:color="auto" w:fill="auto"/>
            <w:noWrap/>
            <w:vAlign w:val="bottom"/>
            <w:hideMark/>
          </w:tcPr>
          <w:p w14:paraId="3C73640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n</w:t>
            </w:r>
          </w:p>
        </w:tc>
        <w:tc>
          <w:tcPr>
            <w:tcW w:w="500" w:type="dxa"/>
            <w:shd w:val="clear" w:color="auto" w:fill="auto"/>
            <w:noWrap/>
            <w:vAlign w:val="bottom"/>
            <w:hideMark/>
          </w:tcPr>
          <w:p w14:paraId="31D0C7E5"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b</w:t>
            </w:r>
          </w:p>
        </w:tc>
        <w:tc>
          <w:tcPr>
            <w:tcW w:w="4176" w:type="dxa"/>
            <w:shd w:val="clear" w:color="auto" w:fill="auto"/>
            <w:vAlign w:val="bottom"/>
            <w:hideMark/>
          </w:tcPr>
          <w:p w14:paraId="319158E2"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Genes</w:t>
            </w:r>
          </w:p>
        </w:tc>
      </w:tr>
      <w:tr w:rsidR="00233C85" w:rsidRPr="00233C85" w14:paraId="60EC8B1F" w14:textId="77777777" w:rsidTr="00233C85">
        <w:trPr>
          <w:trHeight w:val="1140"/>
        </w:trPr>
        <w:tc>
          <w:tcPr>
            <w:tcW w:w="1362" w:type="dxa"/>
            <w:shd w:val="clear" w:color="auto" w:fill="auto"/>
            <w:noWrap/>
            <w:vAlign w:val="bottom"/>
            <w:hideMark/>
          </w:tcPr>
          <w:p w14:paraId="4C2739B0"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GO:0030705</w:t>
            </w:r>
          </w:p>
        </w:tc>
        <w:tc>
          <w:tcPr>
            <w:tcW w:w="2331" w:type="dxa"/>
            <w:shd w:val="clear" w:color="auto" w:fill="auto"/>
            <w:vAlign w:val="bottom"/>
            <w:hideMark/>
          </w:tcPr>
          <w:p w14:paraId="17DCEAE2"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cytoskeleton-dependent intracellular transport</w:t>
            </w:r>
          </w:p>
        </w:tc>
        <w:tc>
          <w:tcPr>
            <w:tcW w:w="1120" w:type="dxa"/>
            <w:shd w:val="clear" w:color="auto" w:fill="auto"/>
            <w:noWrap/>
            <w:vAlign w:val="bottom"/>
            <w:hideMark/>
          </w:tcPr>
          <w:p w14:paraId="112BA0B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6.25E-05</w:t>
            </w:r>
          </w:p>
        </w:tc>
        <w:tc>
          <w:tcPr>
            <w:tcW w:w="1300" w:type="dxa"/>
            <w:shd w:val="clear" w:color="auto" w:fill="auto"/>
            <w:noWrap/>
            <w:vAlign w:val="bottom"/>
            <w:hideMark/>
          </w:tcPr>
          <w:p w14:paraId="51C06FC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9.52E-01</w:t>
            </w:r>
          </w:p>
        </w:tc>
        <w:tc>
          <w:tcPr>
            <w:tcW w:w="1300" w:type="dxa"/>
            <w:shd w:val="clear" w:color="auto" w:fill="auto"/>
            <w:noWrap/>
            <w:vAlign w:val="bottom"/>
            <w:hideMark/>
          </w:tcPr>
          <w:p w14:paraId="5E8E12F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11.69</w:t>
            </w:r>
          </w:p>
        </w:tc>
        <w:tc>
          <w:tcPr>
            <w:tcW w:w="773" w:type="dxa"/>
            <w:shd w:val="clear" w:color="auto" w:fill="auto"/>
            <w:noWrap/>
            <w:vAlign w:val="bottom"/>
            <w:hideMark/>
          </w:tcPr>
          <w:p w14:paraId="0B7990F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51BB9019"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180</w:t>
            </w:r>
          </w:p>
        </w:tc>
        <w:tc>
          <w:tcPr>
            <w:tcW w:w="500" w:type="dxa"/>
            <w:shd w:val="clear" w:color="auto" w:fill="auto"/>
            <w:noWrap/>
            <w:vAlign w:val="bottom"/>
            <w:hideMark/>
          </w:tcPr>
          <w:p w14:paraId="239401A6"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00100CB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5</w:t>
            </w:r>
          </w:p>
        </w:tc>
        <w:tc>
          <w:tcPr>
            <w:tcW w:w="4176" w:type="dxa"/>
            <w:shd w:val="clear" w:color="auto" w:fill="auto"/>
            <w:vAlign w:val="bottom"/>
            <w:hideMark/>
          </w:tcPr>
          <w:p w14:paraId="02C52A1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-ribosylation factor-like 8b,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r w:rsidR="00233C85" w:rsidRPr="00233C85" w14:paraId="55616D8A" w14:textId="77777777" w:rsidTr="00233C85">
        <w:trPr>
          <w:trHeight w:val="580"/>
        </w:trPr>
        <w:tc>
          <w:tcPr>
            <w:tcW w:w="1362" w:type="dxa"/>
            <w:shd w:val="clear" w:color="auto" w:fill="auto"/>
            <w:noWrap/>
            <w:vAlign w:val="bottom"/>
            <w:hideMark/>
          </w:tcPr>
          <w:p w14:paraId="6DA218CB"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GO:0007030</w:t>
            </w:r>
          </w:p>
        </w:tc>
        <w:tc>
          <w:tcPr>
            <w:tcW w:w="2331" w:type="dxa"/>
            <w:shd w:val="clear" w:color="auto" w:fill="auto"/>
            <w:vAlign w:val="bottom"/>
            <w:hideMark/>
          </w:tcPr>
          <w:p w14:paraId="7E9E0706"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Golgi organization</w:t>
            </w:r>
          </w:p>
        </w:tc>
        <w:tc>
          <w:tcPr>
            <w:tcW w:w="1120" w:type="dxa"/>
            <w:shd w:val="clear" w:color="auto" w:fill="auto"/>
            <w:noWrap/>
            <w:vAlign w:val="bottom"/>
            <w:hideMark/>
          </w:tcPr>
          <w:p w14:paraId="0F8064F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1.29E-04</w:t>
            </w:r>
          </w:p>
        </w:tc>
        <w:tc>
          <w:tcPr>
            <w:tcW w:w="1300" w:type="dxa"/>
            <w:shd w:val="clear" w:color="auto" w:fill="auto"/>
            <w:noWrap/>
            <w:vAlign w:val="bottom"/>
            <w:hideMark/>
          </w:tcPr>
          <w:p w14:paraId="4BAD63D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9.85E-01</w:t>
            </w:r>
          </w:p>
        </w:tc>
        <w:tc>
          <w:tcPr>
            <w:tcW w:w="1300" w:type="dxa"/>
            <w:shd w:val="clear" w:color="auto" w:fill="auto"/>
            <w:noWrap/>
            <w:vAlign w:val="bottom"/>
            <w:hideMark/>
          </w:tcPr>
          <w:p w14:paraId="55DB22D7"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15.31</w:t>
            </w:r>
          </w:p>
        </w:tc>
        <w:tc>
          <w:tcPr>
            <w:tcW w:w="773" w:type="dxa"/>
            <w:shd w:val="clear" w:color="auto" w:fill="auto"/>
            <w:noWrap/>
            <w:vAlign w:val="bottom"/>
            <w:hideMark/>
          </w:tcPr>
          <w:p w14:paraId="52D46AB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3A0FF6A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110</w:t>
            </w:r>
          </w:p>
        </w:tc>
        <w:tc>
          <w:tcPr>
            <w:tcW w:w="500" w:type="dxa"/>
            <w:shd w:val="clear" w:color="auto" w:fill="auto"/>
            <w:noWrap/>
            <w:vAlign w:val="bottom"/>
            <w:hideMark/>
          </w:tcPr>
          <w:p w14:paraId="117659A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04596416"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w:t>
            </w:r>
          </w:p>
        </w:tc>
        <w:tc>
          <w:tcPr>
            <w:tcW w:w="4176" w:type="dxa"/>
            <w:shd w:val="clear" w:color="auto" w:fill="auto"/>
            <w:vAlign w:val="bottom"/>
            <w:hideMark/>
          </w:tcPr>
          <w:p w14:paraId="7461575C"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[LMAN</w:t>
            </w:r>
            <w:proofErr w:type="gramStart"/>
            <w:r w:rsidRPr="00233C85">
              <w:rPr>
                <w:rFonts w:ascii="Arial" w:eastAsia="Times New Roman" w:hAnsi="Arial" w:cs="Arial"/>
                <w:color w:val="000000"/>
                <w:sz w:val="20"/>
                <w:szCs w:val="20"/>
              </w:rPr>
              <w:t>2  -</w:t>
            </w:r>
            <w:proofErr w:type="gramEnd"/>
            <w:r w:rsidRPr="00233C85">
              <w:rPr>
                <w:rFonts w:ascii="Arial" w:eastAsia="Times New Roman" w:hAnsi="Arial" w:cs="Arial"/>
                <w:color w:val="000000"/>
                <w:sz w:val="20"/>
                <w:szCs w:val="20"/>
              </w:rPr>
              <w:t xml:space="preserve">  lectin, mannose-binding 2,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ATL3  -  </w:t>
            </w:r>
            <w:proofErr w:type="spellStart"/>
            <w:r w:rsidRPr="00233C85">
              <w:rPr>
                <w:rFonts w:ascii="Arial" w:eastAsia="Times New Roman" w:hAnsi="Arial" w:cs="Arial"/>
                <w:color w:val="000000"/>
                <w:sz w:val="20"/>
                <w:szCs w:val="20"/>
              </w:rPr>
              <w:t>atlastin</w:t>
            </w:r>
            <w:proofErr w:type="spell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gtpase</w:t>
            </w:r>
            <w:proofErr w:type="spellEnd"/>
            <w:r w:rsidRPr="00233C85">
              <w:rPr>
                <w:rFonts w:ascii="Arial" w:eastAsia="Times New Roman" w:hAnsi="Arial" w:cs="Arial"/>
                <w:color w:val="000000"/>
                <w:sz w:val="20"/>
                <w:szCs w:val="20"/>
              </w:rPr>
              <w:t xml:space="preserve"> 3]</w:t>
            </w:r>
          </w:p>
        </w:tc>
      </w:tr>
      <w:tr w:rsidR="00233C85" w:rsidRPr="00233C85" w14:paraId="2B617D65" w14:textId="77777777" w:rsidTr="00233C85">
        <w:trPr>
          <w:trHeight w:val="2260"/>
        </w:trPr>
        <w:tc>
          <w:tcPr>
            <w:tcW w:w="1362" w:type="dxa"/>
            <w:shd w:val="clear" w:color="auto" w:fill="auto"/>
            <w:noWrap/>
            <w:vAlign w:val="bottom"/>
            <w:hideMark/>
          </w:tcPr>
          <w:p w14:paraId="15B4308F"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GO:0071705</w:t>
            </w:r>
          </w:p>
        </w:tc>
        <w:tc>
          <w:tcPr>
            <w:tcW w:w="2331" w:type="dxa"/>
            <w:shd w:val="clear" w:color="auto" w:fill="auto"/>
            <w:vAlign w:val="bottom"/>
            <w:hideMark/>
          </w:tcPr>
          <w:p w14:paraId="3CB7A73B"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nitrogen compound transport</w:t>
            </w:r>
          </w:p>
        </w:tc>
        <w:tc>
          <w:tcPr>
            <w:tcW w:w="1120" w:type="dxa"/>
            <w:shd w:val="clear" w:color="auto" w:fill="auto"/>
            <w:noWrap/>
            <w:vAlign w:val="bottom"/>
            <w:hideMark/>
          </w:tcPr>
          <w:p w14:paraId="6C974EA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1.33E-04</w:t>
            </w:r>
          </w:p>
        </w:tc>
        <w:tc>
          <w:tcPr>
            <w:tcW w:w="1300" w:type="dxa"/>
            <w:shd w:val="clear" w:color="auto" w:fill="auto"/>
            <w:noWrap/>
            <w:vAlign w:val="bottom"/>
            <w:hideMark/>
          </w:tcPr>
          <w:p w14:paraId="03B092A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6.73E-01</w:t>
            </w:r>
          </w:p>
        </w:tc>
        <w:tc>
          <w:tcPr>
            <w:tcW w:w="1300" w:type="dxa"/>
            <w:shd w:val="clear" w:color="auto" w:fill="auto"/>
            <w:noWrap/>
            <w:vAlign w:val="bottom"/>
            <w:hideMark/>
          </w:tcPr>
          <w:p w14:paraId="27F665B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3.3</w:t>
            </w:r>
          </w:p>
        </w:tc>
        <w:tc>
          <w:tcPr>
            <w:tcW w:w="773" w:type="dxa"/>
            <w:shd w:val="clear" w:color="auto" w:fill="auto"/>
            <w:noWrap/>
            <w:vAlign w:val="bottom"/>
            <w:hideMark/>
          </w:tcPr>
          <w:p w14:paraId="32A9B41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336DB0B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1529</w:t>
            </w:r>
          </w:p>
        </w:tc>
        <w:tc>
          <w:tcPr>
            <w:tcW w:w="500" w:type="dxa"/>
            <w:shd w:val="clear" w:color="auto" w:fill="auto"/>
            <w:noWrap/>
            <w:vAlign w:val="bottom"/>
            <w:hideMark/>
          </w:tcPr>
          <w:p w14:paraId="122038D7"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79314EF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12</w:t>
            </w:r>
          </w:p>
        </w:tc>
        <w:tc>
          <w:tcPr>
            <w:tcW w:w="4176" w:type="dxa"/>
            <w:shd w:val="clear" w:color="auto" w:fill="auto"/>
            <w:vAlign w:val="bottom"/>
            <w:hideMark/>
          </w:tcPr>
          <w:p w14:paraId="73AF692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 xml:space="preserve">[ARL8A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SLC25A42  -  solute carrier family 25, member 42,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04E4AE79" w14:textId="77777777" w:rsidTr="00233C85">
        <w:trPr>
          <w:trHeight w:val="3100"/>
        </w:trPr>
        <w:tc>
          <w:tcPr>
            <w:tcW w:w="1362" w:type="dxa"/>
            <w:shd w:val="clear" w:color="auto" w:fill="auto"/>
            <w:noWrap/>
            <w:vAlign w:val="bottom"/>
            <w:hideMark/>
          </w:tcPr>
          <w:p w14:paraId="56145425"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GO:0006810</w:t>
            </w:r>
          </w:p>
        </w:tc>
        <w:tc>
          <w:tcPr>
            <w:tcW w:w="2331" w:type="dxa"/>
            <w:shd w:val="clear" w:color="auto" w:fill="auto"/>
            <w:vAlign w:val="bottom"/>
            <w:hideMark/>
          </w:tcPr>
          <w:p w14:paraId="64ED021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transport</w:t>
            </w:r>
          </w:p>
        </w:tc>
        <w:tc>
          <w:tcPr>
            <w:tcW w:w="1120" w:type="dxa"/>
            <w:shd w:val="clear" w:color="auto" w:fill="auto"/>
            <w:noWrap/>
            <w:vAlign w:val="bottom"/>
            <w:hideMark/>
          </w:tcPr>
          <w:p w14:paraId="7375B60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2.02E-04</w:t>
            </w:r>
          </w:p>
        </w:tc>
        <w:tc>
          <w:tcPr>
            <w:tcW w:w="1300" w:type="dxa"/>
            <w:shd w:val="clear" w:color="auto" w:fill="auto"/>
            <w:noWrap/>
            <w:vAlign w:val="bottom"/>
            <w:hideMark/>
          </w:tcPr>
          <w:p w14:paraId="05D4C83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7.67E-01</w:t>
            </w:r>
          </w:p>
        </w:tc>
        <w:tc>
          <w:tcPr>
            <w:tcW w:w="1300" w:type="dxa"/>
            <w:shd w:val="clear" w:color="auto" w:fill="auto"/>
            <w:noWrap/>
            <w:vAlign w:val="bottom"/>
            <w:hideMark/>
          </w:tcPr>
          <w:p w14:paraId="4F11BD1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2.18</w:t>
            </w:r>
          </w:p>
        </w:tc>
        <w:tc>
          <w:tcPr>
            <w:tcW w:w="773" w:type="dxa"/>
            <w:shd w:val="clear" w:color="auto" w:fill="auto"/>
            <w:noWrap/>
            <w:vAlign w:val="bottom"/>
            <w:hideMark/>
          </w:tcPr>
          <w:p w14:paraId="7691319D"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3B294EB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3667</w:t>
            </w:r>
          </w:p>
        </w:tc>
        <w:tc>
          <w:tcPr>
            <w:tcW w:w="500" w:type="dxa"/>
            <w:shd w:val="clear" w:color="auto" w:fill="auto"/>
            <w:noWrap/>
            <w:vAlign w:val="bottom"/>
            <w:hideMark/>
          </w:tcPr>
          <w:p w14:paraId="3ABCC37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76A3FDB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19</w:t>
            </w:r>
          </w:p>
        </w:tc>
        <w:tc>
          <w:tcPr>
            <w:tcW w:w="4176" w:type="dxa"/>
            <w:shd w:val="clear" w:color="auto" w:fill="auto"/>
            <w:vAlign w:val="bottom"/>
            <w:hideMark/>
          </w:tcPr>
          <w:p w14:paraId="0C49C3AE"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 xml:space="preserve">[CTSL  -  cathepsin l, S100A13  -  s100 calcium binding protein a13, EPN2  -  </w:t>
            </w:r>
            <w:proofErr w:type="spellStart"/>
            <w:r w:rsidRPr="00233C85">
              <w:rPr>
                <w:rFonts w:ascii="Arial" w:eastAsia="Times New Roman" w:hAnsi="Arial" w:cs="Arial"/>
                <w:color w:val="000000"/>
                <w:sz w:val="20"/>
                <w:szCs w:val="20"/>
              </w:rPr>
              <w:t>epsin</w:t>
            </w:r>
            <w:proofErr w:type="spellEnd"/>
            <w:r w:rsidRPr="00233C85">
              <w:rPr>
                <w:rFonts w:ascii="Arial" w:eastAsia="Times New Roman" w:hAnsi="Arial" w:cs="Arial"/>
                <w:color w:val="000000"/>
                <w:sz w:val="20"/>
                <w:szCs w:val="20"/>
              </w:rPr>
              <w:t xml:space="preserve"> 2, SLC25A42  -  solute carrier family 25, member 42,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 RIN1  -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and </w:t>
            </w:r>
            <w:proofErr w:type="spellStart"/>
            <w:r w:rsidRPr="00233C85">
              <w:rPr>
                <w:rFonts w:ascii="Arial" w:eastAsia="Times New Roman" w:hAnsi="Arial" w:cs="Arial"/>
                <w:color w:val="000000"/>
                <w:sz w:val="20"/>
                <w:szCs w:val="20"/>
              </w:rPr>
              <w:t>rab</w:t>
            </w:r>
            <w:proofErr w:type="spellEnd"/>
            <w:r w:rsidRPr="00233C85">
              <w:rPr>
                <w:rFonts w:ascii="Arial" w:eastAsia="Times New Roman" w:hAnsi="Arial" w:cs="Arial"/>
                <w:color w:val="000000"/>
                <w:sz w:val="20"/>
                <w:szCs w:val="20"/>
              </w:rPr>
              <w:t xml:space="preserve"> interactor 1, 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LMAN2  -  lectin, mannose-binding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-ribosylation factor-like 8b, GABRB3  -  gamma-aminobutyric acid (</w:t>
            </w:r>
            <w:proofErr w:type="spellStart"/>
            <w:r w:rsidRPr="00233C85">
              <w:rPr>
                <w:rFonts w:ascii="Arial" w:eastAsia="Times New Roman" w:hAnsi="Arial" w:cs="Arial"/>
                <w:color w:val="000000"/>
                <w:sz w:val="20"/>
                <w:szCs w:val="20"/>
              </w:rPr>
              <w:t>gaba</w:t>
            </w:r>
            <w:proofErr w:type="spellEnd"/>
            <w:r w:rsidRPr="00233C85">
              <w:rPr>
                <w:rFonts w:ascii="Arial" w:eastAsia="Times New Roman" w:hAnsi="Arial" w:cs="Arial"/>
                <w:color w:val="000000"/>
                <w:sz w:val="20"/>
                <w:szCs w:val="20"/>
              </w:rPr>
              <w:t xml:space="preserve">) a receptor, beta 3, TJP2  -  tight junction protein 2, HTT  </w:t>
            </w:r>
            <w:r w:rsidRPr="00233C85">
              <w:rPr>
                <w:rFonts w:ascii="Arial" w:eastAsia="Times New Roman" w:hAnsi="Arial" w:cs="Arial"/>
                <w:color w:val="000000"/>
                <w:sz w:val="20"/>
                <w:szCs w:val="20"/>
              </w:rPr>
              <w:lastRenderedPageBreak/>
              <w:t>-  huntingtin, CACNA1B  -  calcium channel, voltage-dependent, n type, alpha 1b subunit]</w:t>
            </w:r>
          </w:p>
        </w:tc>
      </w:tr>
      <w:tr w:rsidR="00233C85" w:rsidRPr="00233C85" w14:paraId="037DAA57" w14:textId="77777777" w:rsidTr="00233C85">
        <w:trPr>
          <w:trHeight w:val="1420"/>
        </w:trPr>
        <w:tc>
          <w:tcPr>
            <w:tcW w:w="1362" w:type="dxa"/>
            <w:shd w:val="clear" w:color="auto" w:fill="auto"/>
            <w:noWrap/>
            <w:vAlign w:val="bottom"/>
            <w:hideMark/>
          </w:tcPr>
          <w:p w14:paraId="54061DA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lastRenderedPageBreak/>
              <w:t>GO:0015031</w:t>
            </w:r>
          </w:p>
        </w:tc>
        <w:tc>
          <w:tcPr>
            <w:tcW w:w="2331" w:type="dxa"/>
            <w:shd w:val="clear" w:color="auto" w:fill="auto"/>
            <w:vAlign w:val="bottom"/>
            <w:hideMark/>
          </w:tcPr>
          <w:p w14:paraId="09ABF393"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protein transport</w:t>
            </w:r>
          </w:p>
        </w:tc>
        <w:tc>
          <w:tcPr>
            <w:tcW w:w="1120" w:type="dxa"/>
            <w:shd w:val="clear" w:color="auto" w:fill="auto"/>
            <w:noWrap/>
            <w:vAlign w:val="bottom"/>
            <w:hideMark/>
          </w:tcPr>
          <w:p w14:paraId="24ABFD76"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2.97E-04</w:t>
            </w:r>
          </w:p>
        </w:tc>
        <w:tc>
          <w:tcPr>
            <w:tcW w:w="1300" w:type="dxa"/>
            <w:shd w:val="clear" w:color="auto" w:fill="auto"/>
            <w:noWrap/>
            <w:vAlign w:val="bottom"/>
            <w:hideMark/>
          </w:tcPr>
          <w:p w14:paraId="75274E0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9.04E-01</w:t>
            </w:r>
          </w:p>
        </w:tc>
        <w:tc>
          <w:tcPr>
            <w:tcW w:w="1300" w:type="dxa"/>
            <w:shd w:val="clear" w:color="auto" w:fill="auto"/>
            <w:noWrap/>
            <w:vAlign w:val="bottom"/>
            <w:hideMark/>
          </w:tcPr>
          <w:p w14:paraId="7FE9BBF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3.58</w:t>
            </w:r>
          </w:p>
        </w:tc>
        <w:tc>
          <w:tcPr>
            <w:tcW w:w="773" w:type="dxa"/>
            <w:shd w:val="clear" w:color="auto" w:fill="auto"/>
            <w:noWrap/>
            <w:vAlign w:val="bottom"/>
            <w:hideMark/>
          </w:tcPr>
          <w:p w14:paraId="44DD912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03177B70"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1175</w:t>
            </w:r>
          </w:p>
        </w:tc>
        <w:tc>
          <w:tcPr>
            <w:tcW w:w="500" w:type="dxa"/>
            <w:shd w:val="clear" w:color="auto" w:fill="auto"/>
            <w:noWrap/>
            <w:vAlign w:val="bottom"/>
            <w:hideMark/>
          </w:tcPr>
          <w:p w14:paraId="36E7367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5F21C867"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10</w:t>
            </w:r>
          </w:p>
        </w:tc>
        <w:tc>
          <w:tcPr>
            <w:tcW w:w="4176" w:type="dxa"/>
            <w:shd w:val="clear" w:color="auto" w:fill="auto"/>
            <w:vAlign w:val="bottom"/>
            <w:hideMark/>
          </w:tcPr>
          <w:p w14:paraId="2E11FF5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2655CF01" w14:textId="77777777" w:rsidTr="00233C85">
        <w:trPr>
          <w:trHeight w:val="3100"/>
        </w:trPr>
        <w:tc>
          <w:tcPr>
            <w:tcW w:w="1362" w:type="dxa"/>
            <w:shd w:val="clear" w:color="auto" w:fill="auto"/>
            <w:noWrap/>
            <w:vAlign w:val="bottom"/>
            <w:hideMark/>
          </w:tcPr>
          <w:p w14:paraId="06FC7725"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GO:0051234</w:t>
            </w:r>
          </w:p>
        </w:tc>
        <w:tc>
          <w:tcPr>
            <w:tcW w:w="2331" w:type="dxa"/>
            <w:shd w:val="clear" w:color="auto" w:fill="auto"/>
            <w:vAlign w:val="bottom"/>
            <w:hideMark/>
          </w:tcPr>
          <w:p w14:paraId="1E736803"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establishment of localization</w:t>
            </w:r>
          </w:p>
        </w:tc>
        <w:tc>
          <w:tcPr>
            <w:tcW w:w="1120" w:type="dxa"/>
            <w:shd w:val="clear" w:color="auto" w:fill="auto"/>
            <w:noWrap/>
            <w:vAlign w:val="bottom"/>
            <w:hideMark/>
          </w:tcPr>
          <w:p w14:paraId="4C69FCF4"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3.31E-04</w:t>
            </w:r>
          </w:p>
        </w:tc>
        <w:tc>
          <w:tcPr>
            <w:tcW w:w="1300" w:type="dxa"/>
            <w:shd w:val="clear" w:color="auto" w:fill="auto"/>
            <w:noWrap/>
            <w:vAlign w:val="bottom"/>
            <w:hideMark/>
          </w:tcPr>
          <w:p w14:paraId="1919E98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8.40E-01</w:t>
            </w:r>
          </w:p>
        </w:tc>
        <w:tc>
          <w:tcPr>
            <w:tcW w:w="1300" w:type="dxa"/>
            <w:shd w:val="clear" w:color="auto" w:fill="auto"/>
            <w:noWrap/>
            <w:vAlign w:val="bottom"/>
            <w:hideMark/>
          </w:tcPr>
          <w:p w14:paraId="122054B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2.1</w:t>
            </w:r>
          </w:p>
        </w:tc>
        <w:tc>
          <w:tcPr>
            <w:tcW w:w="773" w:type="dxa"/>
            <w:shd w:val="clear" w:color="auto" w:fill="auto"/>
            <w:noWrap/>
            <w:vAlign w:val="bottom"/>
            <w:hideMark/>
          </w:tcPr>
          <w:p w14:paraId="7D5F535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4D0DF0E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3800</w:t>
            </w:r>
          </w:p>
        </w:tc>
        <w:tc>
          <w:tcPr>
            <w:tcW w:w="500" w:type="dxa"/>
            <w:shd w:val="clear" w:color="auto" w:fill="auto"/>
            <w:noWrap/>
            <w:vAlign w:val="bottom"/>
            <w:hideMark/>
          </w:tcPr>
          <w:p w14:paraId="2AE07B5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00E921F0"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19</w:t>
            </w:r>
          </w:p>
        </w:tc>
        <w:tc>
          <w:tcPr>
            <w:tcW w:w="4176" w:type="dxa"/>
            <w:shd w:val="clear" w:color="auto" w:fill="auto"/>
            <w:vAlign w:val="bottom"/>
            <w:hideMark/>
          </w:tcPr>
          <w:p w14:paraId="0AC7996E"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 xml:space="preserve">[CTSL  -  cathepsin l, S100A13  -  s100 calcium binding protein a13, EPN2  -  </w:t>
            </w:r>
            <w:proofErr w:type="spellStart"/>
            <w:r w:rsidRPr="00233C85">
              <w:rPr>
                <w:rFonts w:ascii="Arial" w:eastAsia="Times New Roman" w:hAnsi="Arial" w:cs="Arial"/>
                <w:color w:val="000000"/>
                <w:sz w:val="20"/>
                <w:szCs w:val="20"/>
              </w:rPr>
              <w:t>epsin</w:t>
            </w:r>
            <w:proofErr w:type="spellEnd"/>
            <w:r w:rsidRPr="00233C85">
              <w:rPr>
                <w:rFonts w:ascii="Arial" w:eastAsia="Times New Roman" w:hAnsi="Arial" w:cs="Arial"/>
                <w:color w:val="000000"/>
                <w:sz w:val="20"/>
                <w:szCs w:val="20"/>
              </w:rPr>
              <w:t xml:space="preserve"> 2, SLC25A42  -  solute carrier family 25, member 42,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 RIN1  -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and </w:t>
            </w:r>
            <w:proofErr w:type="spellStart"/>
            <w:r w:rsidRPr="00233C85">
              <w:rPr>
                <w:rFonts w:ascii="Arial" w:eastAsia="Times New Roman" w:hAnsi="Arial" w:cs="Arial"/>
                <w:color w:val="000000"/>
                <w:sz w:val="20"/>
                <w:szCs w:val="20"/>
              </w:rPr>
              <w:t>rab</w:t>
            </w:r>
            <w:proofErr w:type="spellEnd"/>
            <w:r w:rsidRPr="00233C85">
              <w:rPr>
                <w:rFonts w:ascii="Arial" w:eastAsia="Times New Roman" w:hAnsi="Arial" w:cs="Arial"/>
                <w:color w:val="000000"/>
                <w:sz w:val="20"/>
                <w:szCs w:val="20"/>
              </w:rPr>
              <w:t xml:space="preserve"> interactor 1, 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LMAN2  -  lectin, mannose-binding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-ribosylation factor-like 8b, GABRB3  -  gamma-aminobutyric acid (</w:t>
            </w:r>
            <w:proofErr w:type="spellStart"/>
            <w:r w:rsidRPr="00233C85">
              <w:rPr>
                <w:rFonts w:ascii="Arial" w:eastAsia="Times New Roman" w:hAnsi="Arial" w:cs="Arial"/>
                <w:color w:val="000000"/>
                <w:sz w:val="20"/>
                <w:szCs w:val="20"/>
              </w:rPr>
              <w:t>gaba</w:t>
            </w:r>
            <w:proofErr w:type="spellEnd"/>
            <w:r w:rsidRPr="00233C85">
              <w:rPr>
                <w:rFonts w:ascii="Arial" w:eastAsia="Times New Roman" w:hAnsi="Arial" w:cs="Arial"/>
                <w:color w:val="000000"/>
                <w:sz w:val="20"/>
                <w:szCs w:val="20"/>
              </w:rPr>
              <w:t>) a receptor, beta 3, TJP2  -  tight junction protein 2, HTT  -  huntingtin, CACNA1B  -  calcium channel, voltage-dependent, n type, alpha 1b subunit]</w:t>
            </w:r>
          </w:p>
        </w:tc>
      </w:tr>
      <w:tr w:rsidR="00233C85" w:rsidRPr="00233C85" w14:paraId="62D2D42F" w14:textId="77777777" w:rsidTr="00233C85">
        <w:trPr>
          <w:trHeight w:val="1420"/>
        </w:trPr>
        <w:tc>
          <w:tcPr>
            <w:tcW w:w="1362" w:type="dxa"/>
            <w:shd w:val="clear" w:color="auto" w:fill="auto"/>
            <w:noWrap/>
            <w:vAlign w:val="bottom"/>
            <w:hideMark/>
          </w:tcPr>
          <w:p w14:paraId="44F327A0"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lastRenderedPageBreak/>
              <w:t>GO:0015833</w:t>
            </w:r>
          </w:p>
        </w:tc>
        <w:tc>
          <w:tcPr>
            <w:tcW w:w="2331" w:type="dxa"/>
            <w:shd w:val="clear" w:color="auto" w:fill="auto"/>
            <w:vAlign w:val="bottom"/>
            <w:hideMark/>
          </w:tcPr>
          <w:p w14:paraId="3F44078B"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peptide transport</w:t>
            </w:r>
          </w:p>
        </w:tc>
        <w:tc>
          <w:tcPr>
            <w:tcW w:w="1120" w:type="dxa"/>
            <w:shd w:val="clear" w:color="auto" w:fill="auto"/>
            <w:noWrap/>
            <w:vAlign w:val="bottom"/>
            <w:hideMark/>
          </w:tcPr>
          <w:p w14:paraId="2FE23C8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3.47E-04</w:t>
            </w:r>
          </w:p>
        </w:tc>
        <w:tc>
          <w:tcPr>
            <w:tcW w:w="1300" w:type="dxa"/>
            <w:shd w:val="clear" w:color="auto" w:fill="auto"/>
            <w:noWrap/>
            <w:vAlign w:val="bottom"/>
            <w:hideMark/>
          </w:tcPr>
          <w:p w14:paraId="153A045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7.55E-01</w:t>
            </w:r>
          </w:p>
        </w:tc>
        <w:tc>
          <w:tcPr>
            <w:tcW w:w="1300" w:type="dxa"/>
            <w:shd w:val="clear" w:color="auto" w:fill="auto"/>
            <w:noWrap/>
            <w:vAlign w:val="bottom"/>
            <w:hideMark/>
          </w:tcPr>
          <w:p w14:paraId="6DC5D8B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3.51</w:t>
            </w:r>
          </w:p>
        </w:tc>
        <w:tc>
          <w:tcPr>
            <w:tcW w:w="773" w:type="dxa"/>
            <w:shd w:val="clear" w:color="auto" w:fill="auto"/>
            <w:noWrap/>
            <w:vAlign w:val="bottom"/>
            <w:hideMark/>
          </w:tcPr>
          <w:p w14:paraId="5A1702F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3FDAE4D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1198</w:t>
            </w:r>
          </w:p>
        </w:tc>
        <w:tc>
          <w:tcPr>
            <w:tcW w:w="500" w:type="dxa"/>
            <w:shd w:val="clear" w:color="auto" w:fill="auto"/>
            <w:noWrap/>
            <w:vAlign w:val="bottom"/>
            <w:hideMark/>
          </w:tcPr>
          <w:p w14:paraId="4B8A4E7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13F1322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10</w:t>
            </w:r>
          </w:p>
        </w:tc>
        <w:tc>
          <w:tcPr>
            <w:tcW w:w="4176" w:type="dxa"/>
            <w:shd w:val="clear" w:color="auto" w:fill="auto"/>
            <w:vAlign w:val="bottom"/>
            <w:hideMark/>
          </w:tcPr>
          <w:p w14:paraId="271EC75C"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602681A0" w14:textId="77777777" w:rsidTr="00233C85">
        <w:trPr>
          <w:trHeight w:val="580"/>
        </w:trPr>
        <w:tc>
          <w:tcPr>
            <w:tcW w:w="1362" w:type="dxa"/>
            <w:shd w:val="clear" w:color="auto" w:fill="auto"/>
            <w:noWrap/>
            <w:vAlign w:val="bottom"/>
            <w:hideMark/>
          </w:tcPr>
          <w:p w14:paraId="4D22FF0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GO:0099111</w:t>
            </w:r>
          </w:p>
        </w:tc>
        <w:tc>
          <w:tcPr>
            <w:tcW w:w="2331" w:type="dxa"/>
            <w:shd w:val="clear" w:color="auto" w:fill="auto"/>
            <w:vAlign w:val="bottom"/>
            <w:hideMark/>
          </w:tcPr>
          <w:p w14:paraId="529E2487"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microtubule-based transport</w:t>
            </w:r>
          </w:p>
        </w:tc>
        <w:tc>
          <w:tcPr>
            <w:tcW w:w="1120" w:type="dxa"/>
            <w:shd w:val="clear" w:color="auto" w:fill="auto"/>
            <w:noWrap/>
            <w:vAlign w:val="bottom"/>
            <w:hideMark/>
          </w:tcPr>
          <w:p w14:paraId="17EC3459"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3.83E-04</w:t>
            </w:r>
          </w:p>
        </w:tc>
        <w:tc>
          <w:tcPr>
            <w:tcW w:w="1300" w:type="dxa"/>
            <w:shd w:val="clear" w:color="auto" w:fill="auto"/>
            <w:noWrap/>
            <w:vAlign w:val="bottom"/>
            <w:hideMark/>
          </w:tcPr>
          <w:p w14:paraId="5BA103F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7.29E-01</w:t>
            </w:r>
          </w:p>
        </w:tc>
        <w:tc>
          <w:tcPr>
            <w:tcW w:w="1300" w:type="dxa"/>
            <w:shd w:val="clear" w:color="auto" w:fill="auto"/>
            <w:noWrap/>
            <w:vAlign w:val="bottom"/>
            <w:hideMark/>
          </w:tcPr>
          <w:p w14:paraId="4B22C997"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11.53</w:t>
            </w:r>
          </w:p>
        </w:tc>
        <w:tc>
          <w:tcPr>
            <w:tcW w:w="773" w:type="dxa"/>
            <w:shd w:val="clear" w:color="auto" w:fill="auto"/>
            <w:noWrap/>
            <w:vAlign w:val="bottom"/>
            <w:hideMark/>
          </w:tcPr>
          <w:p w14:paraId="109C870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5FF554A9"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146</w:t>
            </w:r>
          </w:p>
        </w:tc>
        <w:tc>
          <w:tcPr>
            <w:tcW w:w="500" w:type="dxa"/>
            <w:shd w:val="clear" w:color="auto" w:fill="auto"/>
            <w:noWrap/>
            <w:vAlign w:val="bottom"/>
            <w:hideMark/>
          </w:tcPr>
          <w:p w14:paraId="61BDC2E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47EB7DF3"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w:t>
            </w:r>
          </w:p>
        </w:tc>
        <w:tc>
          <w:tcPr>
            <w:tcW w:w="4176" w:type="dxa"/>
            <w:shd w:val="clear" w:color="auto" w:fill="auto"/>
            <w:vAlign w:val="bottom"/>
            <w:hideMark/>
          </w:tcPr>
          <w:p w14:paraId="304B9F2E"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r w:rsidR="00233C85" w:rsidRPr="00233C85" w14:paraId="7AC4153F" w14:textId="77777777" w:rsidTr="00233C85">
        <w:trPr>
          <w:trHeight w:val="580"/>
        </w:trPr>
        <w:tc>
          <w:tcPr>
            <w:tcW w:w="1362" w:type="dxa"/>
            <w:shd w:val="clear" w:color="auto" w:fill="auto"/>
            <w:noWrap/>
            <w:vAlign w:val="bottom"/>
            <w:hideMark/>
          </w:tcPr>
          <w:p w14:paraId="4047AFC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GO:0010970</w:t>
            </w:r>
          </w:p>
        </w:tc>
        <w:tc>
          <w:tcPr>
            <w:tcW w:w="2331" w:type="dxa"/>
            <w:shd w:val="clear" w:color="auto" w:fill="auto"/>
            <w:vAlign w:val="bottom"/>
            <w:hideMark/>
          </w:tcPr>
          <w:p w14:paraId="192EC779"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transport along microtubule</w:t>
            </w:r>
          </w:p>
        </w:tc>
        <w:tc>
          <w:tcPr>
            <w:tcW w:w="1120" w:type="dxa"/>
            <w:shd w:val="clear" w:color="auto" w:fill="auto"/>
            <w:noWrap/>
            <w:vAlign w:val="bottom"/>
            <w:hideMark/>
          </w:tcPr>
          <w:p w14:paraId="32A73B8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3.83E-04</w:t>
            </w:r>
          </w:p>
        </w:tc>
        <w:tc>
          <w:tcPr>
            <w:tcW w:w="1300" w:type="dxa"/>
            <w:shd w:val="clear" w:color="auto" w:fill="auto"/>
            <w:noWrap/>
            <w:vAlign w:val="bottom"/>
            <w:hideMark/>
          </w:tcPr>
          <w:p w14:paraId="54A4A52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6.48E-01</w:t>
            </w:r>
          </w:p>
        </w:tc>
        <w:tc>
          <w:tcPr>
            <w:tcW w:w="1300" w:type="dxa"/>
            <w:shd w:val="clear" w:color="auto" w:fill="auto"/>
            <w:noWrap/>
            <w:vAlign w:val="bottom"/>
            <w:hideMark/>
          </w:tcPr>
          <w:p w14:paraId="4B61B37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11.53</w:t>
            </w:r>
          </w:p>
        </w:tc>
        <w:tc>
          <w:tcPr>
            <w:tcW w:w="773" w:type="dxa"/>
            <w:shd w:val="clear" w:color="auto" w:fill="auto"/>
            <w:noWrap/>
            <w:vAlign w:val="bottom"/>
            <w:hideMark/>
          </w:tcPr>
          <w:p w14:paraId="7E2DFF2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45A2FDE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146</w:t>
            </w:r>
          </w:p>
        </w:tc>
        <w:tc>
          <w:tcPr>
            <w:tcW w:w="500" w:type="dxa"/>
            <w:shd w:val="clear" w:color="auto" w:fill="auto"/>
            <w:noWrap/>
            <w:vAlign w:val="bottom"/>
            <w:hideMark/>
          </w:tcPr>
          <w:p w14:paraId="18F31BF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4184FAD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w:t>
            </w:r>
          </w:p>
        </w:tc>
        <w:tc>
          <w:tcPr>
            <w:tcW w:w="4176" w:type="dxa"/>
            <w:shd w:val="clear" w:color="auto" w:fill="auto"/>
            <w:vAlign w:val="bottom"/>
            <w:hideMark/>
          </w:tcPr>
          <w:p w14:paraId="25990791"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r w:rsidR="00233C85" w:rsidRPr="00233C85" w14:paraId="6B896DB2" w14:textId="77777777" w:rsidTr="00233C85">
        <w:trPr>
          <w:trHeight w:val="1420"/>
        </w:trPr>
        <w:tc>
          <w:tcPr>
            <w:tcW w:w="1362" w:type="dxa"/>
            <w:shd w:val="clear" w:color="auto" w:fill="auto"/>
            <w:noWrap/>
            <w:vAlign w:val="bottom"/>
            <w:hideMark/>
          </w:tcPr>
          <w:p w14:paraId="4F700E5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GO:0042886</w:t>
            </w:r>
          </w:p>
        </w:tc>
        <w:tc>
          <w:tcPr>
            <w:tcW w:w="2331" w:type="dxa"/>
            <w:shd w:val="clear" w:color="auto" w:fill="auto"/>
            <w:vAlign w:val="bottom"/>
            <w:hideMark/>
          </w:tcPr>
          <w:p w14:paraId="18E31492"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amide transport</w:t>
            </w:r>
          </w:p>
        </w:tc>
        <w:tc>
          <w:tcPr>
            <w:tcW w:w="1120" w:type="dxa"/>
            <w:shd w:val="clear" w:color="auto" w:fill="auto"/>
            <w:noWrap/>
            <w:vAlign w:val="bottom"/>
            <w:hideMark/>
          </w:tcPr>
          <w:p w14:paraId="5A98ED4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4.32E-04</w:t>
            </w:r>
          </w:p>
        </w:tc>
        <w:tc>
          <w:tcPr>
            <w:tcW w:w="1300" w:type="dxa"/>
            <w:shd w:val="clear" w:color="auto" w:fill="auto"/>
            <w:noWrap/>
            <w:vAlign w:val="bottom"/>
            <w:hideMark/>
          </w:tcPr>
          <w:p w14:paraId="37D34DCD"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6.57E-01</w:t>
            </w:r>
          </w:p>
        </w:tc>
        <w:tc>
          <w:tcPr>
            <w:tcW w:w="1300" w:type="dxa"/>
            <w:shd w:val="clear" w:color="auto" w:fill="auto"/>
            <w:noWrap/>
            <w:vAlign w:val="bottom"/>
            <w:hideMark/>
          </w:tcPr>
          <w:p w14:paraId="405C943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3.42</w:t>
            </w:r>
          </w:p>
        </w:tc>
        <w:tc>
          <w:tcPr>
            <w:tcW w:w="773" w:type="dxa"/>
            <w:shd w:val="clear" w:color="auto" w:fill="auto"/>
            <w:noWrap/>
            <w:vAlign w:val="bottom"/>
            <w:hideMark/>
          </w:tcPr>
          <w:p w14:paraId="3AAF5E5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74C337A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1231</w:t>
            </w:r>
          </w:p>
        </w:tc>
        <w:tc>
          <w:tcPr>
            <w:tcW w:w="500" w:type="dxa"/>
            <w:shd w:val="clear" w:color="auto" w:fill="auto"/>
            <w:noWrap/>
            <w:vAlign w:val="bottom"/>
            <w:hideMark/>
          </w:tcPr>
          <w:p w14:paraId="003BBC4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0EB35800"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10</w:t>
            </w:r>
          </w:p>
        </w:tc>
        <w:tc>
          <w:tcPr>
            <w:tcW w:w="4176" w:type="dxa"/>
            <w:shd w:val="clear" w:color="auto" w:fill="auto"/>
            <w:vAlign w:val="bottom"/>
            <w:hideMark/>
          </w:tcPr>
          <w:p w14:paraId="1143A7CF"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6EF5DE17" w14:textId="77777777" w:rsidTr="00233C85">
        <w:trPr>
          <w:trHeight w:val="860"/>
        </w:trPr>
        <w:tc>
          <w:tcPr>
            <w:tcW w:w="1362" w:type="dxa"/>
            <w:shd w:val="clear" w:color="auto" w:fill="auto"/>
            <w:noWrap/>
            <w:vAlign w:val="bottom"/>
            <w:hideMark/>
          </w:tcPr>
          <w:p w14:paraId="12422C3A"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GO:0099518</w:t>
            </w:r>
          </w:p>
        </w:tc>
        <w:tc>
          <w:tcPr>
            <w:tcW w:w="2331" w:type="dxa"/>
            <w:shd w:val="clear" w:color="auto" w:fill="auto"/>
            <w:vAlign w:val="bottom"/>
            <w:hideMark/>
          </w:tcPr>
          <w:p w14:paraId="0FA75B9B"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vesicle cytoskeletal trafficking</w:t>
            </w:r>
          </w:p>
        </w:tc>
        <w:tc>
          <w:tcPr>
            <w:tcW w:w="1120" w:type="dxa"/>
            <w:shd w:val="clear" w:color="auto" w:fill="auto"/>
            <w:noWrap/>
            <w:vAlign w:val="bottom"/>
            <w:hideMark/>
          </w:tcPr>
          <w:p w14:paraId="2271F512"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4.64E-04</w:t>
            </w:r>
          </w:p>
        </w:tc>
        <w:tc>
          <w:tcPr>
            <w:tcW w:w="1300" w:type="dxa"/>
            <w:shd w:val="clear" w:color="auto" w:fill="auto"/>
            <w:noWrap/>
            <w:vAlign w:val="bottom"/>
            <w:hideMark/>
          </w:tcPr>
          <w:p w14:paraId="08D36A04"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6.42E-01</w:t>
            </w:r>
          </w:p>
        </w:tc>
        <w:tc>
          <w:tcPr>
            <w:tcW w:w="1300" w:type="dxa"/>
            <w:shd w:val="clear" w:color="auto" w:fill="auto"/>
            <w:noWrap/>
            <w:vAlign w:val="bottom"/>
            <w:hideMark/>
          </w:tcPr>
          <w:p w14:paraId="3196D0F4"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19.73</w:t>
            </w:r>
          </w:p>
        </w:tc>
        <w:tc>
          <w:tcPr>
            <w:tcW w:w="773" w:type="dxa"/>
            <w:shd w:val="clear" w:color="auto" w:fill="auto"/>
            <w:noWrap/>
            <w:vAlign w:val="bottom"/>
            <w:hideMark/>
          </w:tcPr>
          <w:p w14:paraId="01DAEEA5"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4701E6C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64</w:t>
            </w:r>
          </w:p>
        </w:tc>
        <w:tc>
          <w:tcPr>
            <w:tcW w:w="500" w:type="dxa"/>
            <w:shd w:val="clear" w:color="auto" w:fill="auto"/>
            <w:noWrap/>
            <w:vAlign w:val="bottom"/>
            <w:hideMark/>
          </w:tcPr>
          <w:p w14:paraId="2EFFABB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216BCEF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w:t>
            </w:r>
          </w:p>
        </w:tc>
        <w:tc>
          <w:tcPr>
            <w:tcW w:w="4176" w:type="dxa"/>
            <w:shd w:val="clear" w:color="auto" w:fill="auto"/>
            <w:vAlign w:val="bottom"/>
            <w:hideMark/>
          </w:tcPr>
          <w:p w14:paraId="3FEFD61D"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[PPFIA</w:t>
            </w:r>
            <w:proofErr w:type="gramStart"/>
            <w:r w:rsidRPr="00233C85">
              <w:rPr>
                <w:rFonts w:ascii="Arial" w:eastAsia="Times New Roman" w:hAnsi="Arial" w:cs="Arial"/>
                <w:color w:val="000000"/>
                <w:sz w:val="20"/>
                <w:szCs w:val="20"/>
              </w:rPr>
              <w:t>2  -</w:t>
            </w:r>
            <w:proofErr w:type="gramEnd"/>
            <w:r w:rsidRPr="00233C85">
              <w:rPr>
                <w:rFonts w:ascii="Arial" w:eastAsia="Times New Roman" w:hAnsi="Arial" w:cs="Arial"/>
                <w:color w:val="000000"/>
                <w:sz w:val="20"/>
                <w:szCs w:val="20"/>
              </w:rPr>
              <w:t xml:space="preserve">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r w:rsidR="00233C85" w:rsidRPr="00233C85" w14:paraId="0A545A3B" w14:textId="77777777" w:rsidTr="00233C85">
        <w:trPr>
          <w:trHeight w:val="1420"/>
        </w:trPr>
        <w:tc>
          <w:tcPr>
            <w:tcW w:w="1362" w:type="dxa"/>
            <w:shd w:val="clear" w:color="auto" w:fill="auto"/>
            <w:noWrap/>
            <w:vAlign w:val="bottom"/>
            <w:hideMark/>
          </w:tcPr>
          <w:p w14:paraId="6956041A"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GO:0045184</w:t>
            </w:r>
          </w:p>
        </w:tc>
        <w:tc>
          <w:tcPr>
            <w:tcW w:w="2331" w:type="dxa"/>
            <w:shd w:val="clear" w:color="auto" w:fill="auto"/>
            <w:vAlign w:val="bottom"/>
            <w:hideMark/>
          </w:tcPr>
          <w:p w14:paraId="23E83B1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establishment of protein localization</w:t>
            </w:r>
          </w:p>
        </w:tc>
        <w:tc>
          <w:tcPr>
            <w:tcW w:w="1120" w:type="dxa"/>
            <w:shd w:val="clear" w:color="auto" w:fill="auto"/>
            <w:noWrap/>
            <w:vAlign w:val="bottom"/>
            <w:hideMark/>
          </w:tcPr>
          <w:p w14:paraId="1F2F3BB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5.04E-04</w:t>
            </w:r>
          </w:p>
        </w:tc>
        <w:tc>
          <w:tcPr>
            <w:tcW w:w="1300" w:type="dxa"/>
            <w:shd w:val="clear" w:color="auto" w:fill="auto"/>
            <w:noWrap/>
            <w:vAlign w:val="bottom"/>
            <w:hideMark/>
          </w:tcPr>
          <w:p w14:paraId="7213BAD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6.39E-01</w:t>
            </w:r>
          </w:p>
        </w:tc>
        <w:tc>
          <w:tcPr>
            <w:tcW w:w="1300" w:type="dxa"/>
            <w:shd w:val="clear" w:color="auto" w:fill="auto"/>
            <w:noWrap/>
            <w:vAlign w:val="bottom"/>
            <w:hideMark/>
          </w:tcPr>
          <w:p w14:paraId="79F2D91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3.35</w:t>
            </w:r>
          </w:p>
        </w:tc>
        <w:tc>
          <w:tcPr>
            <w:tcW w:w="773" w:type="dxa"/>
            <w:shd w:val="clear" w:color="auto" w:fill="auto"/>
            <w:noWrap/>
            <w:vAlign w:val="bottom"/>
            <w:hideMark/>
          </w:tcPr>
          <w:p w14:paraId="74800AA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6F2639E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1255</w:t>
            </w:r>
          </w:p>
        </w:tc>
        <w:tc>
          <w:tcPr>
            <w:tcW w:w="500" w:type="dxa"/>
            <w:shd w:val="clear" w:color="auto" w:fill="auto"/>
            <w:noWrap/>
            <w:vAlign w:val="bottom"/>
            <w:hideMark/>
          </w:tcPr>
          <w:p w14:paraId="28894A63"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35F7733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10</w:t>
            </w:r>
          </w:p>
        </w:tc>
        <w:tc>
          <w:tcPr>
            <w:tcW w:w="4176" w:type="dxa"/>
            <w:shd w:val="clear" w:color="auto" w:fill="auto"/>
            <w:vAlign w:val="bottom"/>
            <w:hideMark/>
          </w:tcPr>
          <w:p w14:paraId="710C9245"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[ARL8</w:t>
            </w:r>
            <w:proofErr w:type="gramStart"/>
            <w:r w:rsidRPr="00233C85">
              <w:rPr>
                <w:rFonts w:ascii="Arial" w:eastAsia="Times New Roman" w:hAnsi="Arial" w:cs="Arial"/>
                <w:color w:val="000000"/>
                <w:sz w:val="20"/>
                <w:szCs w:val="20"/>
              </w:rPr>
              <w:t>A  -</w:t>
            </w:r>
            <w:proofErr w:type="gramEnd"/>
            <w:r w:rsidRPr="00233C85">
              <w:rPr>
                <w:rFonts w:ascii="Arial" w:eastAsia="Times New Roman" w:hAnsi="Arial" w:cs="Arial"/>
                <w:color w:val="000000"/>
                <w:sz w:val="20"/>
                <w:szCs w:val="20"/>
              </w:rPr>
              <w:t xml:space="preserve">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28A2AE82" w14:textId="77777777" w:rsidTr="00233C85">
        <w:trPr>
          <w:trHeight w:val="3100"/>
        </w:trPr>
        <w:tc>
          <w:tcPr>
            <w:tcW w:w="1362" w:type="dxa"/>
            <w:shd w:val="clear" w:color="auto" w:fill="auto"/>
            <w:noWrap/>
            <w:vAlign w:val="bottom"/>
            <w:hideMark/>
          </w:tcPr>
          <w:p w14:paraId="611631F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lastRenderedPageBreak/>
              <w:t>GO:0051179</w:t>
            </w:r>
          </w:p>
        </w:tc>
        <w:tc>
          <w:tcPr>
            <w:tcW w:w="2331" w:type="dxa"/>
            <w:shd w:val="clear" w:color="auto" w:fill="auto"/>
            <w:vAlign w:val="bottom"/>
            <w:hideMark/>
          </w:tcPr>
          <w:p w14:paraId="2B87DB33"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localization</w:t>
            </w:r>
          </w:p>
        </w:tc>
        <w:tc>
          <w:tcPr>
            <w:tcW w:w="1120" w:type="dxa"/>
            <w:shd w:val="clear" w:color="auto" w:fill="auto"/>
            <w:noWrap/>
            <w:vAlign w:val="bottom"/>
            <w:hideMark/>
          </w:tcPr>
          <w:p w14:paraId="15F100C8"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5.33E-04</w:t>
            </w:r>
          </w:p>
        </w:tc>
        <w:tc>
          <w:tcPr>
            <w:tcW w:w="1300" w:type="dxa"/>
            <w:shd w:val="clear" w:color="auto" w:fill="auto"/>
            <w:noWrap/>
            <w:vAlign w:val="bottom"/>
            <w:hideMark/>
          </w:tcPr>
          <w:p w14:paraId="59B7B68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6.24E-01</w:t>
            </w:r>
          </w:p>
        </w:tc>
        <w:tc>
          <w:tcPr>
            <w:tcW w:w="1300" w:type="dxa"/>
            <w:shd w:val="clear" w:color="auto" w:fill="auto"/>
            <w:noWrap/>
            <w:vAlign w:val="bottom"/>
            <w:hideMark/>
          </w:tcPr>
          <w:p w14:paraId="77E2F40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1.96</w:t>
            </w:r>
          </w:p>
        </w:tc>
        <w:tc>
          <w:tcPr>
            <w:tcW w:w="773" w:type="dxa"/>
            <w:shd w:val="clear" w:color="auto" w:fill="auto"/>
            <w:noWrap/>
            <w:vAlign w:val="bottom"/>
            <w:hideMark/>
          </w:tcPr>
          <w:p w14:paraId="58B94C5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57B3B473"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4287</w:t>
            </w:r>
          </w:p>
        </w:tc>
        <w:tc>
          <w:tcPr>
            <w:tcW w:w="500" w:type="dxa"/>
            <w:shd w:val="clear" w:color="auto" w:fill="auto"/>
            <w:noWrap/>
            <w:vAlign w:val="bottom"/>
            <w:hideMark/>
          </w:tcPr>
          <w:p w14:paraId="241E74C0"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3F719C7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20</w:t>
            </w:r>
          </w:p>
        </w:tc>
        <w:tc>
          <w:tcPr>
            <w:tcW w:w="4176" w:type="dxa"/>
            <w:shd w:val="clear" w:color="auto" w:fill="auto"/>
            <w:vAlign w:val="bottom"/>
            <w:hideMark/>
          </w:tcPr>
          <w:p w14:paraId="048CCD0A"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 xml:space="preserve">[CTSL  -  cathepsin l, S100A13  -  s100 calcium binding protein a13, EPN2  -  </w:t>
            </w:r>
            <w:proofErr w:type="spellStart"/>
            <w:r w:rsidRPr="00233C85">
              <w:rPr>
                <w:rFonts w:ascii="Arial" w:eastAsia="Times New Roman" w:hAnsi="Arial" w:cs="Arial"/>
                <w:color w:val="000000"/>
                <w:sz w:val="20"/>
                <w:szCs w:val="20"/>
              </w:rPr>
              <w:t>epsin</w:t>
            </w:r>
            <w:proofErr w:type="spellEnd"/>
            <w:r w:rsidRPr="00233C85">
              <w:rPr>
                <w:rFonts w:ascii="Arial" w:eastAsia="Times New Roman" w:hAnsi="Arial" w:cs="Arial"/>
                <w:color w:val="000000"/>
                <w:sz w:val="20"/>
                <w:szCs w:val="20"/>
              </w:rPr>
              <w:t xml:space="preserve"> 2, SLC25A42  -  solute carrier family 25, member 42,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 RIN1  -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and </w:t>
            </w:r>
            <w:proofErr w:type="spellStart"/>
            <w:r w:rsidRPr="00233C85">
              <w:rPr>
                <w:rFonts w:ascii="Arial" w:eastAsia="Times New Roman" w:hAnsi="Arial" w:cs="Arial"/>
                <w:color w:val="000000"/>
                <w:sz w:val="20"/>
                <w:szCs w:val="20"/>
              </w:rPr>
              <w:t>rab</w:t>
            </w:r>
            <w:proofErr w:type="spellEnd"/>
            <w:r w:rsidRPr="00233C85">
              <w:rPr>
                <w:rFonts w:ascii="Arial" w:eastAsia="Times New Roman" w:hAnsi="Arial" w:cs="Arial"/>
                <w:color w:val="000000"/>
                <w:sz w:val="20"/>
                <w:szCs w:val="20"/>
              </w:rPr>
              <w:t xml:space="preserve"> interactor 1, 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LMAN2  -  lectin, mannose-binding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-ribosylation factor-like 8b, GABRB3  -  gamma-aminobutyric acid (</w:t>
            </w:r>
            <w:proofErr w:type="spellStart"/>
            <w:r w:rsidRPr="00233C85">
              <w:rPr>
                <w:rFonts w:ascii="Arial" w:eastAsia="Times New Roman" w:hAnsi="Arial" w:cs="Arial"/>
                <w:color w:val="000000"/>
                <w:sz w:val="20"/>
                <w:szCs w:val="20"/>
              </w:rPr>
              <w:t>gaba</w:t>
            </w:r>
            <w:proofErr w:type="spellEnd"/>
            <w:r w:rsidRPr="00233C85">
              <w:rPr>
                <w:rFonts w:ascii="Arial" w:eastAsia="Times New Roman" w:hAnsi="Arial" w:cs="Arial"/>
                <w:color w:val="000000"/>
                <w:sz w:val="20"/>
                <w:szCs w:val="20"/>
              </w:rPr>
              <w:t>) a receptor, beta 3, TJP2  -  tight junction protein 2, HTT  -  huntingtin, TM9SF2  -  transmembrane 9 superfamily member 2, CACNA1B  -  calcium channel, voltage-dependent, n type, alpha 1b subunit]</w:t>
            </w:r>
          </w:p>
        </w:tc>
      </w:tr>
      <w:tr w:rsidR="00233C85" w:rsidRPr="00233C85" w14:paraId="362C488E" w14:textId="77777777" w:rsidTr="00233C85">
        <w:trPr>
          <w:trHeight w:val="2260"/>
        </w:trPr>
        <w:tc>
          <w:tcPr>
            <w:tcW w:w="1362" w:type="dxa"/>
            <w:shd w:val="clear" w:color="auto" w:fill="auto"/>
            <w:noWrap/>
            <w:vAlign w:val="bottom"/>
            <w:hideMark/>
          </w:tcPr>
          <w:p w14:paraId="040D7BB6"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GO:0071702</w:t>
            </w:r>
          </w:p>
        </w:tc>
        <w:tc>
          <w:tcPr>
            <w:tcW w:w="2331" w:type="dxa"/>
            <w:shd w:val="clear" w:color="auto" w:fill="auto"/>
            <w:vAlign w:val="bottom"/>
            <w:hideMark/>
          </w:tcPr>
          <w:p w14:paraId="144F975D"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organic substance transport</w:t>
            </w:r>
          </w:p>
        </w:tc>
        <w:tc>
          <w:tcPr>
            <w:tcW w:w="1120" w:type="dxa"/>
            <w:shd w:val="clear" w:color="auto" w:fill="auto"/>
            <w:noWrap/>
            <w:vAlign w:val="bottom"/>
            <w:hideMark/>
          </w:tcPr>
          <w:p w14:paraId="4C6E7EA3"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5.93E-04</w:t>
            </w:r>
          </w:p>
        </w:tc>
        <w:tc>
          <w:tcPr>
            <w:tcW w:w="1300" w:type="dxa"/>
            <w:shd w:val="clear" w:color="auto" w:fill="auto"/>
            <w:noWrap/>
            <w:vAlign w:val="bottom"/>
            <w:hideMark/>
          </w:tcPr>
          <w:p w14:paraId="45FD015D"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6.44E-01</w:t>
            </w:r>
          </w:p>
        </w:tc>
        <w:tc>
          <w:tcPr>
            <w:tcW w:w="1300" w:type="dxa"/>
            <w:shd w:val="clear" w:color="auto" w:fill="auto"/>
            <w:noWrap/>
            <w:vAlign w:val="bottom"/>
            <w:hideMark/>
          </w:tcPr>
          <w:p w14:paraId="162A37E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2.82</w:t>
            </w:r>
          </w:p>
        </w:tc>
        <w:tc>
          <w:tcPr>
            <w:tcW w:w="773" w:type="dxa"/>
            <w:shd w:val="clear" w:color="auto" w:fill="auto"/>
            <w:noWrap/>
            <w:vAlign w:val="bottom"/>
            <w:hideMark/>
          </w:tcPr>
          <w:p w14:paraId="6CB09BE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4E5A8D3E"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1793</w:t>
            </w:r>
          </w:p>
        </w:tc>
        <w:tc>
          <w:tcPr>
            <w:tcW w:w="500" w:type="dxa"/>
            <w:shd w:val="clear" w:color="auto" w:fill="auto"/>
            <w:noWrap/>
            <w:vAlign w:val="bottom"/>
            <w:hideMark/>
          </w:tcPr>
          <w:p w14:paraId="02E95B91"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4D6A8D8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12</w:t>
            </w:r>
          </w:p>
        </w:tc>
        <w:tc>
          <w:tcPr>
            <w:tcW w:w="4176" w:type="dxa"/>
            <w:shd w:val="clear" w:color="auto" w:fill="auto"/>
            <w:vAlign w:val="bottom"/>
            <w:hideMark/>
          </w:tcPr>
          <w:p w14:paraId="0BC59686"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 xml:space="preserve">[ARL8A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PPFIA2  -  protein tyrosine phosphatase, receptor type, f polypeptide (</w:t>
            </w:r>
            <w:proofErr w:type="spellStart"/>
            <w:r w:rsidRPr="00233C85">
              <w:rPr>
                <w:rFonts w:ascii="Arial" w:eastAsia="Times New Roman" w:hAnsi="Arial" w:cs="Arial"/>
                <w:color w:val="000000"/>
                <w:sz w:val="20"/>
                <w:szCs w:val="20"/>
              </w:rPr>
              <w:t>ptprf</w:t>
            </w:r>
            <w:proofErr w:type="spellEnd"/>
            <w:r w:rsidRPr="00233C85">
              <w:rPr>
                <w:rFonts w:ascii="Arial" w:eastAsia="Times New Roman" w:hAnsi="Arial" w:cs="Arial"/>
                <w:color w:val="000000"/>
                <w:sz w:val="20"/>
                <w:szCs w:val="20"/>
              </w:rPr>
              <w:t>), interacting protein (</w:t>
            </w:r>
            <w:proofErr w:type="spellStart"/>
            <w:r w:rsidRPr="00233C85">
              <w:rPr>
                <w:rFonts w:ascii="Arial" w:eastAsia="Times New Roman" w:hAnsi="Arial" w:cs="Arial"/>
                <w:color w:val="000000"/>
                <w:sz w:val="20"/>
                <w:szCs w:val="20"/>
              </w:rPr>
              <w:t>liprin</w:t>
            </w:r>
            <w:proofErr w:type="spellEnd"/>
            <w:r w:rsidRPr="00233C85">
              <w:rPr>
                <w:rFonts w:ascii="Arial" w:eastAsia="Times New Roman" w:hAnsi="Arial" w:cs="Arial"/>
                <w:color w:val="000000"/>
                <w:sz w:val="20"/>
                <w:szCs w:val="20"/>
              </w:rPr>
              <w:t xml:space="preserve">), alpha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SLC25A42  -  solute carrier family 25, member 42, MFF  -  mitochondrial fission factor, TBC1D17  -  tbc1 domain family, member 17, MTX3  -  </w:t>
            </w:r>
            <w:proofErr w:type="spellStart"/>
            <w:r w:rsidRPr="00233C85">
              <w:rPr>
                <w:rFonts w:ascii="Arial" w:eastAsia="Times New Roman" w:hAnsi="Arial" w:cs="Arial"/>
                <w:color w:val="000000"/>
                <w:sz w:val="20"/>
                <w:szCs w:val="20"/>
              </w:rPr>
              <w:t>metaxin</w:t>
            </w:r>
            <w:proofErr w:type="spellEnd"/>
            <w:r w:rsidRPr="00233C85">
              <w:rPr>
                <w:rFonts w:ascii="Arial" w:eastAsia="Times New Roman" w:hAnsi="Arial" w:cs="Arial"/>
                <w:color w:val="000000"/>
                <w:sz w:val="20"/>
                <w:szCs w:val="20"/>
              </w:rPr>
              <w:t xml:space="preserve"> 3,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 AIP  -  aryl hydrocarbon receptor interacting protein]</w:t>
            </w:r>
          </w:p>
        </w:tc>
      </w:tr>
      <w:tr w:rsidR="00233C85" w:rsidRPr="00233C85" w14:paraId="32D670A8" w14:textId="77777777" w:rsidTr="00233C85">
        <w:trPr>
          <w:trHeight w:val="1420"/>
        </w:trPr>
        <w:tc>
          <w:tcPr>
            <w:tcW w:w="1362" w:type="dxa"/>
            <w:shd w:val="clear" w:color="auto" w:fill="auto"/>
            <w:noWrap/>
            <w:vAlign w:val="bottom"/>
            <w:hideMark/>
          </w:tcPr>
          <w:p w14:paraId="5BE83A10"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GO:0016192</w:t>
            </w:r>
          </w:p>
        </w:tc>
        <w:tc>
          <w:tcPr>
            <w:tcW w:w="2331" w:type="dxa"/>
            <w:shd w:val="clear" w:color="auto" w:fill="auto"/>
            <w:vAlign w:val="bottom"/>
            <w:hideMark/>
          </w:tcPr>
          <w:p w14:paraId="770866C7"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vesicle-mediated transport</w:t>
            </w:r>
          </w:p>
        </w:tc>
        <w:tc>
          <w:tcPr>
            <w:tcW w:w="1120" w:type="dxa"/>
            <w:shd w:val="clear" w:color="auto" w:fill="auto"/>
            <w:noWrap/>
            <w:vAlign w:val="bottom"/>
            <w:hideMark/>
          </w:tcPr>
          <w:p w14:paraId="185BE0D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8.30E-04</w:t>
            </w:r>
          </w:p>
        </w:tc>
        <w:tc>
          <w:tcPr>
            <w:tcW w:w="1300" w:type="dxa"/>
            <w:shd w:val="clear" w:color="auto" w:fill="auto"/>
            <w:noWrap/>
            <w:vAlign w:val="bottom"/>
            <w:hideMark/>
          </w:tcPr>
          <w:p w14:paraId="17CE992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8.42E-01</w:t>
            </w:r>
          </w:p>
        </w:tc>
        <w:tc>
          <w:tcPr>
            <w:tcW w:w="1300" w:type="dxa"/>
            <w:shd w:val="clear" w:color="auto" w:fill="auto"/>
            <w:noWrap/>
            <w:vAlign w:val="bottom"/>
            <w:hideMark/>
          </w:tcPr>
          <w:p w14:paraId="6BD6A50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2.91</w:t>
            </w:r>
          </w:p>
        </w:tc>
        <w:tc>
          <w:tcPr>
            <w:tcW w:w="773" w:type="dxa"/>
            <w:shd w:val="clear" w:color="auto" w:fill="auto"/>
            <w:noWrap/>
            <w:vAlign w:val="bottom"/>
            <w:hideMark/>
          </w:tcPr>
          <w:p w14:paraId="24866719"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532DE44D"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1592</w:t>
            </w:r>
          </w:p>
        </w:tc>
        <w:tc>
          <w:tcPr>
            <w:tcW w:w="500" w:type="dxa"/>
            <w:shd w:val="clear" w:color="auto" w:fill="auto"/>
            <w:noWrap/>
            <w:vAlign w:val="bottom"/>
            <w:hideMark/>
          </w:tcPr>
          <w:p w14:paraId="229C3CFC"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5EDC4F4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11</w:t>
            </w:r>
          </w:p>
        </w:tc>
        <w:tc>
          <w:tcPr>
            <w:tcW w:w="4176" w:type="dxa"/>
            <w:shd w:val="clear" w:color="auto" w:fill="auto"/>
            <w:vAlign w:val="bottom"/>
            <w:hideMark/>
          </w:tcPr>
          <w:p w14:paraId="44DB79A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w:t>
            </w:r>
            <w:proofErr w:type="gramStart"/>
            <w:r w:rsidRPr="00233C85">
              <w:rPr>
                <w:rFonts w:ascii="Arial" w:eastAsia="Times New Roman" w:hAnsi="Arial" w:cs="Arial"/>
                <w:color w:val="000000"/>
                <w:sz w:val="20"/>
                <w:szCs w:val="20"/>
              </w:rPr>
              <w:t>CTSL  -</w:t>
            </w:r>
            <w:proofErr w:type="gramEnd"/>
            <w:r w:rsidRPr="00233C85">
              <w:rPr>
                <w:rFonts w:ascii="Arial" w:eastAsia="Times New Roman" w:hAnsi="Arial" w:cs="Arial"/>
                <w:color w:val="000000"/>
                <w:sz w:val="20"/>
                <w:szCs w:val="20"/>
              </w:rPr>
              <w:t xml:space="preserve">  cathepsin l, RIN1  -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and </w:t>
            </w:r>
            <w:proofErr w:type="spellStart"/>
            <w:r w:rsidRPr="00233C85">
              <w:rPr>
                <w:rFonts w:ascii="Arial" w:eastAsia="Times New Roman" w:hAnsi="Arial" w:cs="Arial"/>
                <w:color w:val="000000"/>
                <w:sz w:val="20"/>
                <w:szCs w:val="20"/>
              </w:rPr>
              <w:t>rab</w:t>
            </w:r>
            <w:proofErr w:type="spellEnd"/>
            <w:r w:rsidRPr="00233C85">
              <w:rPr>
                <w:rFonts w:ascii="Arial" w:eastAsia="Times New Roman" w:hAnsi="Arial" w:cs="Arial"/>
                <w:color w:val="000000"/>
                <w:sz w:val="20"/>
                <w:szCs w:val="20"/>
              </w:rPr>
              <w:t xml:space="preserve"> interactor 1, ARL8A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8a, EXOC2  -  </w:t>
            </w:r>
            <w:proofErr w:type="spellStart"/>
            <w:r w:rsidRPr="00233C85">
              <w:rPr>
                <w:rFonts w:ascii="Arial" w:eastAsia="Times New Roman" w:hAnsi="Arial" w:cs="Arial"/>
                <w:color w:val="000000"/>
                <w:sz w:val="20"/>
                <w:szCs w:val="20"/>
              </w:rPr>
              <w:t>exocyst</w:t>
            </w:r>
            <w:proofErr w:type="spellEnd"/>
            <w:r w:rsidRPr="00233C85">
              <w:rPr>
                <w:rFonts w:ascii="Arial" w:eastAsia="Times New Roman" w:hAnsi="Arial" w:cs="Arial"/>
                <w:color w:val="000000"/>
                <w:sz w:val="20"/>
                <w:szCs w:val="20"/>
              </w:rPr>
              <w:t xml:space="preserve"> complex component 2, S100A13  -  s100 calcium binding protein a13, EPN2  -  </w:t>
            </w:r>
            <w:proofErr w:type="spellStart"/>
            <w:r w:rsidRPr="00233C85">
              <w:rPr>
                <w:rFonts w:ascii="Arial" w:eastAsia="Times New Roman" w:hAnsi="Arial" w:cs="Arial"/>
                <w:color w:val="000000"/>
                <w:sz w:val="20"/>
                <w:szCs w:val="20"/>
              </w:rPr>
              <w:t>epsin</w:t>
            </w:r>
            <w:proofErr w:type="spellEnd"/>
            <w:r w:rsidRPr="00233C85">
              <w:rPr>
                <w:rFonts w:ascii="Arial" w:eastAsia="Times New Roman" w:hAnsi="Arial" w:cs="Arial"/>
                <w:color w:val="000000"/>
                <w:sz w:val="20"/>
                <w:szCs w:val="20"/>
              </w:rPr>
              <w:t xml:space="preserve"> 2, ARL8B  -  </w:t>
            </w:r>
            <w:proofErr w:type="spellStart"/>
            <w:r w:rsidRPr="00233C85">
              <w:rPr>
                <w:rFonts w:ascii="Arial" w:eastAsia="Times New Roman" w:hAnsi="Arial" w:cs="Arial"/>
                <w:color w:val="000000"/>
                <w:sz w:val="20"/>
                <w:szCs w:val="20"/>
              </w:rPr>
              <w:t>adp</w:t>
            </w:r>
            <w:proofErr w:type="spellEnd"/>
            <w:r w:rsidRPr="00233C85">
              <w:rPr>
                <w:rFonts w:ascii="Arial" w:eastAsia="Times New Roman" w:hAnsi="Arial" w:cs="Arial"/>
                <w:color w:val="000000"/>
                <w:sz w:val="20"/>
                <w:szCs w:val="20"/>
              </w:rPr>
              <w:t xml:space="preserve">-ribosylation factor-like 8b, LMAN2  -  lectin, mannose-binding 2, TBC1D17  -  tbc1 domain family, member </w:t>
            </w:r>
            <w:r w:rsidRPr="00233C85">
              <w:rPr>
                <w:rFonts w:ascii="Arial" w:eastAsia="Times New Roman" w:hAnsi="Arial" w:cs="Arial"/>
                <w:color w:val="000000"/>
                <w:sz w:val="20"/>
                <w:szCs w:val="20"/>
              </w:rPr>
              <w:lastRenderedPageBreak/>
              <w:t xml:space="preserve">17,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r w:rsidR="00233C85" w:rsidRPr="00233C85" w14:paraId="58762818" w14:textId="77777777" w:rsidTr="00233C85">
        <w:trPr>
          <w:trHeight w:val="860"/>
        </w:trPr>
        <w:tc>
          <w:tcPr>
            <w:tcW w:w="1362" w:type="dxa"/>
            <w:shd w:val="clear" w:color="auto" w:fill="auto"/>
            <w:noWrap/>
            <w:vAlign w:val="bottom"/>
            <w:hideMark/>
          </w:tcPr>
          <w:p w14:paraId="67AC9BF8"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lastRenderedPageBreak/>
              <w:t>GO:0006890</w:t>
            </w:r>
          </w:p>
        </w:tc>
        <w:tc>
          <w:tcPr>
            <w:tcW w:w="2331" w:type="dxa"/>
            <w:shd w:val="clear" w:color="auto" w:fill="auto"/>
            <w:vAlign w:val="bottom"/>
            <w:hideMark/>
          </w:tcPr>
          <w:p w14:paraId="63E8691C"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retrograde vesicle-mediated transport, Golgi to ER</w:t>
            </w:r>
          </w:p>
        </w:tc>
        <w:tc>
          <w:tcPr>
            <w:tcW w:w="1120" w:type="dxa"/>
            <w:shd w:val="clear" w:color="auto" w:fill="auto"/>
            <w:noWrap/>
            <w:vAlign w:val="bottom"/>
            <w:hideMark/>
          </w:tcPr>
          <w:p w14:paraId="66154637"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9.93E-04</w:t>
            </w:r>
          </w:p>
        </w:tc>
        <w:tc>
          <w:tcPr>
            <w:tcW w:w="1300" w:type="dxa"/>
            <w:shd w:val="clear" w:color="auto" w:fill="auto"/>
            <w:noWrap/>
            <w:vAlign w:val="bottom"/>
            <w:hideMark/>
          </w:tcPr>
          <w:p w14:paraId="59338D29"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9.44E-01</w:t>
            </w:r>
          </w:p>
        </w:tc>
        <w:tc>
          <w:tcPr>
            <w:tcW w:w="1300" w:type="dxa"/>
            <w:shd w:val="clear" w:color="auto" w:fill="auto"/>
            <w:noWrap/>
            <w:vAlign w:val="bottom"/>
            <w:hideMark/>
          </w:tcPr>
          <w:p w14:paraId="29BB4E4A"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15.22</w:t>
            </w:r>
          </w:p>
        </w:tc>
        <w:tc>
          <w:tcPr>
            <w:tcW w:w="773" w:type="dxa"/>
            <w:shd w:val="clear" w:color="auto" w:fill="auto"/>
            <w:noWrap/>
            <w:vAlign w:val="bottom"/>
            <w:hideMark/>
          </w:tcPr>
          <w:p w14:paraId="11B7320B"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15155</w:t>
            </w:r>
          </w:p>
        </w:tc>
        <w:tc>
          <w:tcPr>
            <w:tcW w:w="661" w:type="dxa"/>
            <w:shd w:val="clear" w:color="auto" w:fill="auto"/>
            <w:noWrap/>
            <w:vAlign w:val="bottom"/>
            <w:hideMark/>
          </w:tcPr>
          <w:p w14:paraId="3C079C93"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83</w:t>
            </w:r>
          </w:p>
        </w:tc>
        <w:tc>
          <w:tcPr>
            <w:tcW w:w="500" w:type="dxa"/>
            <w:shd w:val="clear" w:color="auto" w:fill="auto"/>
            <w:noWrap/>
            <w:vAlign w:val="bottom"/>
            <w:hideMark/>
          </w:tcPr>
          <w:p w14:paraId="0B0E7F4F"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36</w:t>
            </w:r>
          </w:p>
        </w:tc>
        <w:tc>
          <w:tcPr>
            <w:tcW w:w="500" w:type="dxa"/>
            <w:shd w:val="clear" w:color="auto" w:fill="auto"/>
            <w:noWrap/>
            <w:vAlign w:val="bottom"/>
            <w:hideMark/>
          </w:tcPr>
          <w:p w14:paraId="4636AD40" w14:textId="77777777" w:rsidR="00233C85" w:rsidRPr="00233C85" w:rsidRDefault="00233C85" w:rsidP="00233C85">
            <w:pPr>
              <w:jc w:val="right"/>
              <w:rPr>
                <w:rFonts w:ascii="Arial" w:eastAsia="Times New Roman" w:hAnsi="Arial" w:cs="Arial"/>
                <w:color w:val="000000"/>
                <w:sz w:val="20"/>
                <w:szCs w:val="20"/>
              </w:rPr>
            </w:pPr>
            <w:r w:rsidRPr="00233C85">
              <w:rPr>
                <w:rFonts w:ascii="Arial" w:eastAsia="Times New Roman" w:hAnsi="Arial" w:cs="Arial"/>
                <w:color w:val="000000"/>
                <w:sz w:val="20"/>
                <w:szCs w:val="20"/>
              </w:rPr>
              <w:t>3</w:t>
            </w:r>
          </w:p>
        </w:tc>
        <w:tc>
          <w:tcPr>
            <w:tcW w:w="4176" w:type="dxa"/>
            <w:shd w:val="clear" w:color="auto" w:fill="auto"/>
            <w:vAlign w:val="bottom"/>
            <w:hideMark/>
          </w:tcPr>
          <w:p w14:paraId="3AA148E4" w14:textId="77777777" w:rsidR="00233C85" w:rsidRPr="00233C85" w:rsidRDefault="00233C85" w:rsidP="00233C85">
            <w:pPr>
              <w:rPr>
                <w:rFonts w:ascii="Arial" w:eastAsia="Times New Roman" w:hAnsi="Arial" w:cs="Arial"/>
                <w:color w:val="000000"/>
                <w:sz w:val="20"/>
                <w:szCs w:val="20"/>
              </w:rPr>
            </w:pPr>
            <w:r w:rsidRPr="00233C85">
              <w:rPr>
                <w:rFonts w:ascii="Arial" w:eastAsia="Times New Roman" w:hAnsi="Arial" w:cs="Arial"/>
                <w:color w:val="000000"/>
                <w:sz w:val="20"/>
                <w:szCs w:val="20"/>
              </w:rPr>
              <w:t>[LMAN</w:t>
            </w:r>
            <w:proofErr w:type="gramStart"/>
            <w:r w:rsidRPr="00233C85">
              <w:rPr>
                <w:rFonts w:ascii="Arial" w:eastAsia="Times New Roman" w:hAnsi="Arial" w:cs="Arial"/>
                <w:color w:val="000000"/>
                <w:sz w:val="20"/>
                <w:szCs w:val="20"/>
              </w:rPr>
              <w:t>2  -</w:t>
            </w:r>
            <w:proofErr w:type="gramEnd"/>
            <w:r w:rsidRPr="00233C85">
              <w:rPr>
                <w:rFonts w:ascii="Arial" w:eastAsia="Times New Roman" w:hAnsi="Arial" w:cs="Arial"/>
                <w:color w:val="000000"/>
                <w:sz w:val="20"/>
                <w:szCs w:val="20"/>
              </w:rPr>
              <w:t xml:space="preserve">  lectin, mannose-binding 2, HTT  -  huntingtin, RAB1A  -  rab1a, member </w:t>
            </w:r>
            <w:proofErr w:type="spellStart"/>
            <w:r w:rsidRPr="00233C85">
              <w:rPr>
                <w:rFonts w:ascii="Arial" w:eastAsia="Times New Roman" w:hAnsi="Arial" w:cs="Arial"/>
                <w:color w:val="000000"/>
                <w:sz w:val="20"/>
                <w:szCs w:val="20"/>
              </w:rPr>
              <w:t>ras</w:t>
            </w:r>
            <w:proofErr w:type="spellEnd"/>
            <w:r w:rsidRPr="00233C85">
              <w:rPr>
                <w:rFonts w:ascii="Arial" w:eastAsia="Times New Roman" w:hAnsi="Arial" w:cs="Arial"/>
                <w:color w:val="000000"/>
                <w:sz w:val="20"/>
                <w:szCs w:val="20"/>
              </w:rPr>
              <w:t xml:space="preserve"> oncogene family]</w:t>
            </w:r>
          </w:p>
        </w:tc>
      </w:tr>
    </w:tbl>
    <w:p w14:paraId="65E2DF07" w14:textId="77777777" w:rsidR="00233C85" w:rsidRDefault="00233C85" w:rsidP="004006BE">
      <w:pPr>
        <w:rPr>
          <w:rFonts w:ascii="Arial" w:hAnsi="Arial" w:cs="Arial"/>
          <w:b/>
          <w:bCs/>
          <w:sz w:val="22"/>
          <w:szCs w:val="22"/>
        </w:rPr>
      </w:pPr>
    </w:p>
    <w:p w14:paraId="27776BDF" w14:textId="5C92AB43" w:rsidR="00233C85" w:rsidRPr="00233C85" w:rsidRDefault="00233C85" w:rsidP="004006BE">
      <w:pPr>
        <w:rPr>
          <w:rFonts w:ascii="Arial" w:hAnsi="Arial" w:cs="Arial"/>
          <w:b/>
          <w:bCs/>
          <w:sz w:val="22"/>
          <w:szCs w:val="22"/>
        </w:rPr>
      </w:pPr>
      <w:r w:rsidRPr="00233C85">
        <w:rPr>
          <w:rFonts w:ascii="Arial" w:hAnsi="Arial" w:cs="Arial"/>
          <w:b/>
          <w:bCs/>
          <w:sz w:val="22"/>
          <w:szCs w:val="22"/>
        </w:rPr>
        <w:t>Supplementary Table 1. GO enrichment of propranolol regulated proteins.</w:t>
      </w:r>
    </w:p>
    <w:p w14:paraId="113C39C4" w14:textId="562813BE" w:rsidR="00686BC8" w:rsidRDefault="00686BC8">
      <w:pPr>
        <w:rPr>
          <w:rFonts w:ascii="Arial" w:hAnsi="Arial" w:cs="Arial"/>
          <w:sz w:val="22"/>
          <w:szCs w:val="22"/>
        </w:rPr>
      </w:pPr>
    </w:p>
    <w:tbl>
      <w:tblPr>
        <w:tblW w:w="13920" w:type="dxa"/>
        <w:tblCellMar>
          <w:left w:w="0" w:type="dxa"/>
          <w:right w:w="0" w:type="dxa"/>
        </w:tblCellMar>
        <w:tblLook w:val="0420" w:firstRow="1" w:lastRow="0" w:firstColumn="0" w:lastColumn="0" w:noHBand="0" w:noVBand="1"/>
      </w:tblPr>
      <w:tblGrid>
        <w:gridCol w:w="1920"/>
        <w:gridCol w:w="1660"/>
        <w:gridCol w:w="1720"/>
        <w:gridCol w:w="1860"/>
        <w:gridCol w:w="6760"/>
      </w:tblGrid>
      <w:tr w:rsidR="000E4266" w:rsidRPr="000E4266" w14:paraId="0CE37D09" w14:textId="77777777" w:rsidTr="000E4266">
        <w:trPr>
          <w:trHeight w:val="848"/>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C15C92" w14:textId="77777777" w:rsidR="000E4266" w:rsidRPr="000E4266" w:rsidRDefault="000E4266" w:rsidP="000E4266">
            <w:pPr>
              <w:rPr>
                <w:rFonts w:ascii="Arial" w:hAnsi="Arial" w:cs="Arial"/>
                <w:sz w:val="22"/>
                <w:szCs w:val="22"/>
              </w:rPr>
            </w:pPr>
            <w:r w:rsidRPr="000E4266">
              <w:rPr>
                <w:rFonts w:ascii="Arial" w:hAnsi="Arial" w:cs="Arial"/>
                <w:b/>
                <w:bCs/>
                <w:sz w:val="22"/>
                <w:szCs w:val="22"/>
              </w:rPr>
              <w:t>Antibody</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091A38" w14:textId="77777777" w:rsidR="000E4266" w:rsidRPr="000E4266" w:rsidRDefault="000E4266" w:rsidP="000E4266">
            <w:pPr>
              <w:rPr>
                <w:rFonts w:ascii="Arial" w:hAnsi="Arial" w:cs="Arial"/>
                <w:sz w:val="22"/>
                <w:szCs w:val="22"/>
              </w:rPr>
            </w:pPr>
            <w:r w:rsidRPr="000E4266">
              <w:rPr>
                <w:rFonts w:ascii="Arial" w:hAnsi="Arial" w:cs="Arial"/>
                <w:b/>
                <w:bCs/>
                <w:sz w:val="22"/>
                <w:szCs w:val="22"/>
              </w:rPr>
              <w:t>Brand / Reference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F8D45" w14:textId="77777777" w:rsidR="000E4266" w:rsidRPr="000E4266" w:rsidRDefault="000E4266" w:rsidP="000E4266">
            <w:pPr>
              <w:rPr>
                <w:rFonts w:ascii="Arial" w:hAnsi="Arial" w:cs="Arial"/>
                <w:sz w:val="22"/>
                <w:szCs w:val="22"/>
              </w:rPr>
            </w:pPr>
            <w:r w:rsidRPr="000E4266">
              <w:rPr>
                <w:rFonts w:ascii="Arial" w:hAnsi="Arial" w:cs="Arial"/>
                <w:b/>
                <w:bCs/>
                <w:sz w:val="22"/>
                <w:szCs w:val="22"/>
              </w:rPr>
              <w:t>Molecular Weight (</w:t>
            </w:r>
            <w:proofErr w:type="spellStart"/>
            <w:r w:rsidRPr="000E4266">
              <w:rPr>
                <w:rFonts w:ascii="Arial" w:hAnsi="Arial" w:cs="Arial"/>
                <w:b/>
                <w:bCs/>
                <w:sz w:val="22"/>
                <w:szCs w:val="22"/>
              </w:rPr>
              <w:t>kDa</w:t>
            </w:r>
            <w:proofErr w:type="spellEnd"/>
            <w:r w:rsidRPr="000E4266">
              <w:rPr>
                <w:rFonts w:ascii="Arial" w:hAnsi="Arial" w:cs="Arial"/>
                <w:b/>
                <w:bCs/>
                <w:sz w:val="22"/>
                <w:szCs w:val="22"/>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1B4903" w14:textId="77777777" w:rsidR="000E4266" w:rsidRPr="000E4266" w:rsidRDefault="000E4266" w:rsidP="000E4266">
            <w:pPr>
              <w:rPr>
                <w:rFonts w:ascii="Arial" w:hAnsi="Arial" w:cs="Arial"/>
                <w:sz w:val="22"/>
                <w:szCs w:val="22"/>
              </w:rPr>
            </w:pPr>
            <w:r w:rsidRPr="000E4266">
              <w:rPr>
                <w:rFonts w:ascii="Arial" w:hAnsi="Arial" w:cs="Arial"/>
                <w:b/>
                <w:bCs/>
                <w:sz w:val="22"/>
                <w:szCs w:val="22"/>
              </w:rPr>
              <w:t>Species / Concentration / Treatment</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CD3BB" w14:textId="77777777" w:rsidR="000E4266" w:rsidRPr="000E4266" w:rsidRDefault="000E4266" w:rsidP="000E4266">
            <w:pPr>
              <w:rPr>
                <w:rFonts w:ascii="Arial" w:hAnsi="Arial" w:cs="Arial"/>
                <w:sz w:val="22"/>
                <w:szCs w:val="22"/>
              </w:rPr>
            </w:pPr>
            <w:r w:rsidRPr="000E4266">
              <w:rPr>
                <w:rFonts w:ascii="Arial" w:hAnsi="Arial" w:cs="Arial"/>
                <w:b/>
                <w:bCs/>
                <w:sz w:val="22"/>
                <w:szCs w:val="22"/>
              </w:rPr>
              <w:t>Conclusions</w:t>
            </w:r>
          </w:p>
        </w:tc>
      </w:tr>
      <w:tr w:rsidR="000E4266" w:rsidRPr="000E4266" w14:paraId="17E07D81"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407C6B" w14:textId="77777777" w:rsidR="000E4266" w:rsidRPr="000E4266" w:rsidRDefault="000E4266" w:rsidP="000E4266">
            <w:pPr>
              <w:rPr>
                <w:rFonts w:ascii="Arial" w:hAnsi="Arial" w:cs="Arial"/>
                <w:sz w:val="22"/>
                <w:szCs w:val="22"/>
              </w:rPr>
            </w:pPr>
            <w:r w:rsidRPr="000E4266">
              <w:rPr>
                <w:rFonts w:ascii="Arial" w:hAnsi="Arial" w:cs="Arial"/>
                <w:sz w:val="22"/>
                <w:szCs w:val="22"/>
              </w:rPr>
              <w:t>Akt</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F1C68C"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2920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5AD31D" w14:textId="77777777" w:rsidR="000E4266" w:rsidRPr="000E4266" w:rsidRDefault="000E4266" w:rsidP="000E4266">
            <w:pPr>
              <w:rPr>
                <w:rFonts w:ascii="Arial" w:hAnsi="Arial" w:cs="Arial"/>
                <w:sz w:val="22"/>
                <w:szCs w:val="22"/>
              </w:rPr>
            </w:pPr>
            <w:r w:rsidRPr="000E4266">
              <w:rPr>
                <w:rFonts w:ascii="Arial" w:hAnsi="Arial" w:cs="Arial"/>
                <w:sz w:val="22"/>
                <w:szCs w:val="22"/>
              </w:rPr>
              <w:t>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1A261" w14:textId="77777777" w:rsidR="000E4266" w:rsidRPr="000E4266" w:rsidRDefault="000E4266" w:rsidP="000E4266">
            <w:pPr>
              <w:rPr>
                <w:rFonts w:ascii="Arial" w:hAnsi="Arial" w:cs="Arial"/>
                <w:sz w:val="22"/>
                <w:szCs w:val="22"/>
              </w:rPr>
            </w:pPr>
            <w:r w:rsidRPr="000E4266">
              <w:rPr>
                <w:rFonts w:ascii="Arial" w:hAnsi="Arial" w:cs="Arial"/>
                <w:sz w:val="22"/>
                <w:szCs w:val="22"/>
              </w:rPr>
              <w:t>M / 1:2000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9F2878"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48AF46F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3B85B9" w14:textId="77777777" w:rsidR="000E4266" w:rsidRPr="000E4266" w:rsidRDefault="000E4266" w:rsidP="000E4266">
            <w:pPr>
              <w:rPr>
                <w:rFonts w:ascii="Arial" w:hAnsi="Arial" w:cs="Arial"/>
                <w:sz w:val="22"/>
                <w:szCs w:val="22"/>
              </w:rPr>
            </w:pPr>
            <w:r w:rsidRPr="000E4266">
              <w:rPr>
                <w:rFonts w:ascii="Arial" w:hAnsi="Arial" w:cs="Arial"/>
                <w:sz w:val="22"/>
                <w:szCs w:val="22"/>
              </w:rPr>
              <w:t>Atg5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5C519"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12994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7477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ACA187" w14:textId="77777777" w:rsidR="000E4266" w:rsidRPr="000E4266" w:rsidRDefault="000E4266" w:rsidP="000E4266">
            <w:pPr>
              <w:rPr>
                <w:rFonts w:ascii="Arial" w:hAnsi="Arial" w:cs="Arial"/>
                <w:sz w:val="22"/>
                <w:szCs w:val="22"/>
              </w:rPr>
            </w:pPr>
            <w:r w:rsidRPr="000E4266">
              <w:rPr>
                <w:rFonts w:ascii="Arial" w:hAnsi="Arial" w:cs="Arial"/>
                <w:sz w:val="22"/>
                <w:szCs w:val="22"/>
              </w:rPr>
              <w:t>R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BD8BF6"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111C8EE"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434409"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DAPK1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5C4D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3008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AE49F3"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57A5D4"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81727D"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elevation of DAPK with Propranolol</w:t>
            </w:r>
            <w:r w:rsidRPr="000E4266">
              <w:rPr>
                <w:rFonts w:ascii="Arial" w:hAnsi="Arial" w:cs="Arial"/>
                <w:sz w:val="22"/>
                <w:szCs w:val="22"/>
              </w:rPr>
              <w:t>.</w:t>
            </w:r>
          </w:p>
        </w:tc>
      </w:tr>
      <w:tr w:rsidR="000E4266" w:rsidRPr="000E4266" w14:paraId="7F92D428"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5609B0"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pDAPK</w:t>
            </w:r>
            <w:proofErr w:type="spellEnd"/>
          </w:p>
          <w:p w14:paraId="59BE5EE4" w14:textId="77777777" w:rsidR="000E4266" w:rsidRPr="000E4266" w:rsidRDefault="000E4266" w:rsidP="000E4266">
            <w:pPr>
              <w:rPr>
                <w:rFonts w:ascii="Arial" w:hAnsi="Arial" w:cs="Arial"/>
                <w:sz w:val="22"/>
                <w:szCs w:val="22"/>
              </w:rPr>
            </w:pPr>
            <w:r w:rsidRPr="000E4266">
              <w:rPr>
                <w:rFonts w:ascii="Arial" w:hAnsi="Arial" w:cs="Arial"/>
                <w:sz w:val="22"/>
                <w:szCs w:val="22"/>
              </w:rPr>
              <w:t>(Ser308)</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B39FD" w14:textId="77777777" w:rsidR="000E4266" w:rsidRPr="000E4266" w:rsidRDefault="000E4266" w:rsidP="000E4266">
            <w:pPr>
              <w:rPr>
                <w:rFonts w:ascii="Arial" w:hAnsi="Arial" w:cs="Arial"/>
                <w:sz w:val="22"/>
                <w:szCs w:val="22"/>
              </w:rPr>
            </w:pPr>
            <w:r w:rsidRPr="000E4266">
              <w:rPr>
                <w:rFonts w:ascii="Arial" w:hAnsi="Arial" w:cs="Arial"/>
                <w:sz w:val="22"/>
                <w:szCs w:val="22"/>
              </w:rPr>
              <w:t>Sigma / D4941</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FC8950"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2C72D7"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3E8576"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 xml:space="preserve">decrease in </w:t>
            </w:r>
            <w:proofErr w:type="spellStart"/>
            <w:r w:rsidRPr="000E4266">
              <w:rPr>
                <w:rFonts w:ascii="Arial" w:hAnsi="Arial" w:cs="Arial"/>
                <w:sz w:val="22"/>
                <w:szCs w:val="22"/>
                <w:u w:val="single"/>
              </w:rPr>
              <w:t>pDAPK</w:t>
            </w:r>
            <w:proofErr w:type="spellEnd"/>
            <w:r w:rsidRPr="000E4266">
              <w:rPr>
                <w:rFonts w:ascii="Arial" w:hAnsi="Arial" w:cs="Arial"/>
                <w:sz w:val="22"/>
                <w:szCs w:val="22"/>
                <w:u w:val="single"/>
              </w:rPr>
              <w:t xml:space="preserve"> with Propranolol</w:t>
            </w:r>
            <w:r w:rsidRPr="000E4266">
              <w:rPr>
                <w:rFonts w:ascii="Arial" w:hAnsi="Arial" w:cs="Arial"/>
                <w:sz w:val="22"/>
                <w:szCs w:val="22"/>
              </w:rPr>
              <w:t>.</w:t>
            </w:r>
          </w:p>
        </w:tc>
      </w:tr>
      <w:tr w:rsidR="000E4266" w:rsidRPr="000E4266" w14:paraId="36CFDDAC"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20FFF" w14:textId="77777777" w:rsidR="000E4266" w:rsidRPr="000E4266" w:rsidRDefault="000E4266" w:rsidP="000E4266">
            <w:pPr>
              <w:rPr>
                <w:rFonts w:ascii="Arial" w:hAnsi="Arial" w:cs="Arial"/>
                <w:sz w:val="22"/>
                <w:szCs w:val="22"/>
              </w:rPr>
            </w:pPr>
            <w:r w:rsidRPr="000E4266">
              <w:rPr>
                <w:rFonts w:ascii="Arial" w:hAnsi="Arial" w:cs="Arial"/>
                <w:sz w:val="22"/>
                <w:szCs w:val="22"/>
              </w:rPr>
              <w:t>GluA1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8C8115"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13185</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40B522" w14:textId="77777777" w:rsidR="000E4266" w:rsidRPr="000E4266" w:rsidRDefault="000E4266" w:rsidP="000E4266">
            <w:pPr>
              <w:rPr>
                <w:rFonts w:ascii="Arial" w:hAnsi="Arial" w:cs="Arial"/>
                <w:sz w:val="22"/>
                <w:szCs w:val="22"/>
              </w:rPr>
            </w:pPr>
            <w:r w:rsidRPr="000E4266">
              <w:rPr>
                <w:rFonts w:ascii="Arial" w:hAnsi="Arial" w:cs="Arial"/>
                <w:sz w:val="22"/>
                <w:szCs w:val="22"/>
              </w:rPr>
              <w:t>100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719D29"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21F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BC2969F"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7E580"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LC3B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AC4D6C" w14:textId="77777777" w:rsidR="000E4266" w:rsidRPr="000E4266" w:rsidRDefault="000E4266" w:rsidP="000E4266">
            <w:pPr>
              <w:rPr>
                <w:rFonts w:ascii="Arial" w:hAnsi="Arial" w:cs="Arial"/>
                <w:sz w:val="22"/>
                <w:szCs w:val="22"/>
              </w:rPr>
            </w:pPr>
            <w:r w:rsidRPr="000E4266">
              <w:rPr>
                <w:rFonts w:ascii="Arial" w:hAnsi="Arial" w:cs="Arial"/>
                <w:sz w:val="22"/>
                <w:szCs w:val="22"/>
              </w:rPr>
              <w:t>Novus / NB100-2220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22ED9F" w14:textId="77777777" w:rsidR="000E4266" w:rsidRPr="000E4266" w:rsidRDefault="000E4266" w:rsidP="000E4266">
            <w:pPr>
              <w:rPr>
                <w:rFonts w:ascii="Arial" w:hAnsi="Arial" w:cs="Arial"/>
                <w:sz w:val="22"/>
                <w:szCs w:val="22"/>
              </w:rPr>
            </w:pPr>
            <w:r w:rsidRPr="000E4266">
              <w:rPr>
                <w:rFonts w:ascii="Arial" w:hAnsi="Arial" w:cs="Arial"/>
                <w:sz w:val="22"/>
                <w:szCs w:val="22"/>
              </w:rPr>
              <w:t>15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02A7E1" w14:textId="77777777" w:rsidR="000E4266" w:rsidRPr="000E4266" w:rsidRDefault="000E4266" w:rsidP="000E4266">
            <w:pPr>
              <w:rPr>
                <w:rFonts w:ascii="Arial" w:hAnsi="Arial" w:cs="Arial"/>
                <w:sz w:val="22"/>
                <w:szCs w:val="22"/>
              </w:rPr>
            </w:pPr>
            <w:r w:rsidRPr="000E4266">
              <w:rPr>
                <w:rFonts w:ascii="Arial" w:hAnsi="Arial" w:cs="Arial"/>
                <w:sz w:val="22"/>
                <w:szCs w:val="22"/>
              </w:rPr>
              <w:t>Rb / 1:500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F48A5"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Elevation</w:t>
            </w:r>
            <w:r w:rsidRPr="000E4266">
              <w:rPr>
                <w:rFonts w:ascii="Arial" w:hAnsi="Arial" w:cs="Arial"/>
                <w:sz w:val="22"/>
                <w:szCs w:val="22"/>
              </w:rPr>
              <w:t xml:space="preserve"> of LC3-I and LC3-II in Hemi mice, </w:t>
            </w:r>
            <w:r w:rsidRPr="000E4266">
              <w:rPr>
                <w:rFonts w:ascii="Arial" w:hAnsi="Arial" w:cs="Arial"/>
                <w:sz w:val="22"/>
                <w:szCs w:val="22"/>
                <w:u w:val="single"/>
              </w:rPr>
              <w:t>reduced</w:t>
            </w:r>
            <w:r w:rsidRPr="000E4266">
              <w:rPr>
                <w:rFonts w:ascii="Arial" w:hAnsi="Arial" w:cs="Arial"/>
                <w:sz w:val="22"/>
                <w:szCs w:val="22"/>
              </w:rPr>
              <w:t xml:space="preserve"> for LC3-I is reduced </w:t>
            </w:r>
            <w:r w:rsidRPr="000E4266">
              <w:rPr>
                <w:rFonts w:ascii="Arial" w:hAnsi="Arial" w:cs="Arial"/>
                <w:sz w:val="22"/>
                <w:szCs w:val="22"/>
                <w:u w:val="single"/>
              </w:rPr>
              <w:t>with mabuterol</w:t>
            </w:r>
            <w:r w:rsidRPr="000E4266">
              <w:rPr>
                <w:rFonts w:ascii="Arial" w:hAnsi="Arial" w:cs="Arial"/>
                <w:sz w:val="22"/>
                <w:szCs w:val="22"/>
              </w:rPr>
              <w:t>.</w:t>
            </w:r>
          </w:p>
        </w:tc>
      </w:tr>
      <w:tr w:rsidR="000E4266" w:rsidRPr="000E4266" w14:paraId="0120720A"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18F979" w14:textId="77777777" w:rsidR="000E4266" w:rsidRPr="000E4266" w:rsidRDefault="000E4266" w:rsidP="000E4266">
            <w:pPr>
              <w:rPr>
                <w:rFonts w:ascii="Arial" w:hAnsi="Arial" w:cs="Arial"/>
                <w:sz w:val="22"/>
                <w:szCs w:val="22"/>
              </w:rPr>
            </w:pPr>
            <w:r w:rsidRPr="000E4266">
              <w:rPr>
                <w:rFonts w:ascii="Arial" w:hAnsi="Arial" w:cs="Arial"/>
                <w:sz w:val="22"/>
                <w:szCs w:val="22"/>
              </w:rPr>
              <w:t>NR2B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277B23" w14:textId="77777777" w:rsidR="000E4266" w:rsidRPr="000E4266" w:rsidRDefault="000E4266" w:rsidP="000E4266">
            <w:pPr>
              <w:rPr>
                <w:rFonts w:ascii="Arial" w:hAnsi="Arial" w:cs="Arial"/>
                <w:sz w:val="22"/>
                <w:szCs w:val="22"/>
              </w:rPr>
            </w:pPr>
            <w:r w:rsidRPr="000E4266">
              <w:rPr>
                <w:rFonts w:ascii="Arial" w:hAnsi="Arial" w:cs="Arial"/>
                <w:sz w:val="22"/>
                <w:szCs w:val="22"/>
              </w:rPr>
              <w:t>Invitrogen / MA1-2014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BC1EE" w14:textId="77777777" w:rsidR="000E4266" w:rsidRPr="000E4266" w:rsidRDefault="000E4266" w:rsidP="000E4266">
            <w:pPr>
              <w:rPr>
                <w:rFonts w:ascii="Arial" w:hAnsi="Arial" w:cs="Arial"/>
                <w:sz w:val="22"/>
                <w:szCs w:val="22"/>
              </w:rPr>
            </w:pPr>
            <w:r w:rsidRPr="000E4266">
              <w:rPr>
                <w:rFonts w:ascii="Arial" w:hAnsi="Arial" w:cs="Arial"/>
                <w:sz w:val="22"/>
                <w:szCs w:val="22"/>
              </w:rPr>
              <w:t>166</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BCDF5"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N HRP</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90BA4"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F5BC94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C3ACD8" w14:textId="77777777" w:rsidR="000E4266" w:rsidRPr="000E4266" w:rsidRDefault="000E4266" w:rsidP="000E4266">
            <w:pPr>
              <w:rPr>
                <w:rFonts w:ascii="Arial" w:hAnsi="Arial" w:cs="Arial"/>
                <w:sz w:val="22"/>
                <w:szCs w:val="22"/>
              </w:rPr>
            </w:pPr>
            <w:r w:rsidRPr="000E4266">
              <w:rPr>
                <w:rFonts w:ascii="Arial" w:hAnsi="Arial" w:cs="Arial"/>
                <w:sz w:val="22"/>
                <w:szCs w:val="22"/>
              </w:rPr>
              <w:t>PSD95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CAB1AF"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2507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0F7C5D" w14:textId="77777777" w:rsidR="000E4266" w:rsidRPr="000E4266" w:rsidRDefault="000E4266" w:rsidP="000E4266">
            <w:pPr>
              <w:rPr>
                <w:rFonts w:ascii="Arial" w:hAnsi="Arial" w:cs="Arial"/>
                <w:sz w:val="22"/>
                <w:szCs w:val="22"/>
              </w:rPr>
            </w:pPr>
            <w:r w:rsidRPr="000E4266">
              <w:rPr>
                <w:rFonts w:ascii="Arial" w:hAnsi="Arial" w:cs="Arial"/>
                <w:sz w:val="22"/>
                <w:szCs w:val="22"/>
              </w:rPr>
              <w:t>95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22C3F1"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C3CB52"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C2E45C4"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677DF"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rPr>
              <w:lastRenderedPageBreak/>
              <w:t>Synapsin</w:t>
            </w:r>
            <w:proofErr w:type="spellEnd"/>
            <w:r w:rsidRPr="000E4266">
              <w:rPr>
                <w:rFonts w:ascii="Arial" w:hAnsi="Arial" w:cs="Arial"/>
                <w:sz w:val="22"/>
                <w:szCs w:val="22"/>
              </w:rPr>
              <w:t xml:space="preserve"> I</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718B3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5297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F78C35" w14:textId="77777777" w:rsidR="000E4266" w:rsidRPr="000E4266" w:rsidRDefault="000E4266" w:rsidP="000E4266">
            <w:pPr>
              <w:rPr>
                <w:rFonts w:ascii="Arial" w:hAnsi="Arial" w:cs="Arial"/>
                <w:sz w:val="22"/>
                <w:szCs w:val="22"/>
              </w:rPr>
            </w:pPr>
            <w:r w:rsidRPr="000E4266">
              <w:rPr>
                <w:rFonts w:ascii="Arial" w:hAnsi="Arial" w:cs="Arial"/>
                <w:sz w:val="22"/>
                <w:szCs w:val="22"/>
              </w:rPr>
              <w:t>77</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CAC06B"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44A9AD"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2A89E3D4" w14:textId="77777777" w:rsidTr="000E4266">
        <w:trPr>
          <w:trHeight w:val="646"/>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37239A"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p>
          <w:p w14:paraId="6C5DBC02" w14:textId="77777777" w:rsidR="000E4266" w:rsidRPr="000E4266" w:rsidRDefault="000E4266" w:rsidP="000E4266">
            <w:pPr>
              <w:rPr>
                <w:rFonts w:ascii="Arial" w:hAnsi="Arial" w:cs="Arial"/>
                <w:sz w:val="22"/>
                <w:szCs w:val="22"/>
              </w:rPr>
            </w:pPr>
            <w:r w:rsidRPr="000E4266">
              <w:rPr>
                <w:rFonts w:ascii="Arial" w:hAnsi="Arial" w:cs="Arial"/>
                <w:sz w:val="22"/>
                <w:szCs w:val="22"/>
              </w:rPr>
              <w:t>(Ser62, Ser67)</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029C99"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AB9848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3E8DCB" w14:textId="77777777" w:rsidR="000E4266" w:rsidRPr="000E4266" w:rsidRDefault="000E4266" w:rsidP="000E4266">
            <w:pPr>
              <w:rPr>
                <w:rFonts w:ascii="Arial" w:hAnsi="Arial" w:cs="Arial"/>
                <w:sz w:val="22"/>
                <w:szCs w:val="22"/>
              </w:rPr>
            </w:pPr>
            <w:r w:rsidRPr="000E4266">
              <w:rPr>
                <w:rFonts w:ascii="Arial" w:hAnsi="Arial" w:cs="Arial"/>
                <w:sz w:val="22"/>
                <w:szCs w:val="22"/>
              </w:rPr>
              <w:t>78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D29A62"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798256"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 xml:space="preserve">Elevation of </w:t>
            </w: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r w:rsidRPr="000E4266">
              <w:rPr>
                <w:rFonts w:ascii="Arial" w:hAnsi="Arial" w:cs="Arial"/>
                <w:sz w:val="22"/>
                <w:szCs w:val="22"/>
              </w:rPr>
              <w:t xml:space="preserve"> in Hemi mice. </w:t>
            </w:r>
          </w:p>
        </w:tc>
      </w:tr>
      <w:tr w:rsidR="000E4266" w:rsidRPr="000E4266" w14:paraId="76215199"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F5F38B" w14:textId="77777777" w:rsidR="000E4266" w:rsidRPr="000E4266" w:rsidRDefault="000E4266" w:rsidP="000E4266">
            <w:pPr>
              <w:rPr>
                <w:rFonts w:ascii="Arial" w:hAnsi="Arial" w:cs="Arial"/>
                <w:sz w:val="22"/>
                <w:szCs w:val="22"/>
              </w:rPr>
            </w:pPr>
            <w:r w:rsidRPr="000E4266">
              <w:rPr>
                <w:rFonts w:ascii="Arial" w:hAnsi="Arial" w:cs="Arial"/>
                <w:sz w:val="22"/>
                <w:szCs w:val="22"/>
              </w:rPr>
              <w:t>Synaptophysin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CBF77"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MAB329-C</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99F2E6" w14:textId="77777777" w:rsidR="000E4266" w:rsidRPr="000E4266" w:rsidRDefault="000E4266" w:rsidP="000E4266">
            <w:pPr>
              <w:rPr>
                <w:rFonts w:ascii="Arial" w:hAnsi="Arial" w:cs="Arial"/>
                <w:sz w:val="22"/>
                <w:szCs w:val="22"/>
              </w:rPr>
            </w:pPr>
            <w:r w:rsidRPr="000E4266">
              <w:rPr>
                <w:rFonts w:ascii="Arial" w:hAnsi="Arial" w:cs="Arial"/>
                <w:sz w:val="22"/>
                <w:szCs w:val="22"/>
              </w:rPr>
              <w:t>38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084403"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25F47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D207902" w14:textId="77777777" w:rsidTr="000E4266">
        <w:trPr>
          <w:trHeight w:val="605"/>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453E3" w14:textId="77777777" w:rsidR="000E4266" w:rsidRPr="000E4266" w:rsidRDefault="000E4266" w:rsidP="000E4266">
            <w:pPr>
              <w:rPr>
                <w:rFonts w:ascii="Arial" w:hAnsi="Arial" w:cs="Arial"/>
                <w:sz w:val="22"/>
                <w:szCs w:val="22"/>
              </w:rPr>
            </w:pPr>
            <w:r w:rsidRPr="000E4266">
              <w:rPr>
                <w:rFonts w:ascii="Arial" w:hAnsi="Arial" w:cs="Arial"/>
                <w:sz w:val="22"/>
                <w:szCs w:val="22"/>
              </w:rPr>
              <w:t>Tubulin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532EAB" w14:textId="77777777" w:rsidR="000E4266" w:rsidRPr="000E4266" w:rsidRDefault="000E4266" w:rsidP="000E4266">
            <w:pPr>
              <w:rPr>
                <w:rFonts w:ascii="Arial" w:hAnsi="Arial" w:cs="Arial"/>
                <w:sz w:val="22"/>
                <w:szCs w:val="22"/>
              </w:rPr>
            </w:pPr>
            <w:r w:rsidRPr="000E4266">
              <w:rPr>
                <w:rFonts w:ascii="Arial" w:hAnsi="Arial" w:cs="Arial"/>
                <w:sz w:val="22"/>
                <w:szCs w:val="22"/>
              </w:rPr>
              <w:t>Sigma / T5168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320BB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F780A3"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M / 1:1000 </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0EA018" w14:textId="77777777" w:rsidR="000E4266" w:rsidRPr="000E4266" w:rsidRDefault="000E4266" w:rsidP="000E4266">
            <w:pPr>
              <w:rPr>
                <w:rFonts w:ascii="Arial" w:hAnsi="Arial" w:cs="Arial"/>
                <w:sz w:val="22"/>
                <w:szCs w:val="22"/>
              </w:rPr>
            </w:pPr>
            <w:r w:rsidRPr="000E4266">
              <w:rPr>
                <w:rFonts w:ascii="Arial" w:hAnsi="Arial" w:cs="Arial"/>
                <w:sz w:val="22"/>
                <w:szCs w:val="22"/>
              </w:rPr>
              <w:t>Used for normalization</w:t>
            </w:r>
          </w:p>
        </w:tc>
      </w:tr>
    </w:tbl>
    <w:p w14:paraId="5A8A4CAB" w14:textId="77777777" w:rsidR="000E4266" w:rsidRDefault="000E4266">
      <w:pPr>
        <w:rPr>
          <w:rFonts w:ascii="Arial" w:hAnsi="Arial" w:cs="Arial"/>
          <w:sz w:val="22"/>
          <w:szCs w:val="22"/>
        </w:rPr>
      </w:pPr>
    </w:p>
    <w:p w14:paraId="06751814" w14:textId="4E0CA523" w:rsidR="000E4266" w:rsidRPr="00D92F1A" w:rsidRDefault="000E4266">
      <w:pPr>
        <w:rPr>
          <w:rFonts w:ascii="Arial" w:hAnsi="Arial" w:cs="Arial"/>
          <w:sz w:val="22"/>
          <w:szCs w:val="22"/>
        </w:rPr>
      </w:pPr>
      <w:r>
        <w:rPr>
          <w:rFonts w:ascii="Arial" w:hAnsi="Arial" w:cs="Arial"/>
          <w:b/>
          <w:bCs/>
          <w:color w:val="000000"/>
          <w:sz w:val="22"/>
          <w:szCs w:val="22"/>
        </w:rPr>
        <w:t xml:space="preserve">Supplementary Table </w:t>
      </w:r>
      <w:r>
        <w:rPr>
          <w:rFonts w:ascii="Arial" w:hAnsi="Arial" w:cs="Arial"/>
          <w:b/>
          <w:bCs/>
          <w:color w:val="000000"/>
          <w:sz w:val="22"/>
          <w:szCs w:val="22"/>
        </w:rPr>
        <w:t>2. Western blot summary.</w:t>
      </w:r>
    </w:p>
    <w:sectPr w:rsidR="000E4266" w:rsidRPr="00D92F1A" w:rsidSect="00233C8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E4266"/>
    <w:rsid w:val="0013083A"/>
    <w:rsid w:val="00233C85"/>
    <w:rsid w:val="00284E67"/>
    <w:rsid w:val="002D4585"/>
    <w:rsid w:val="003124CF"/>
    <w:rsid w:val="004006BE"/>
    <w:rsid w:val="00517581"/>
    <w:rsid w:val="00517873"/>
    <w:rsid w:val="00595EF3"/>
    <w:rsid w:val="005C50AD"/>
    <w:rsid w:val="00686BC8"/>
    <w:rsid w:val="00745166"/>
    <w:rsid w:val="007F5DD8"/>
    <w:rsid w:val="00803356"/>
    <w:rsid w:val="009F3CF9"/>
    <w:rsid w:val="00A5599C"/>
    <w:rsid w:val="00BD39F1"/>
    <w:rsid w:val="00BD6549"/>
    <w:rsid w:val="00D92F1A"/>
    <w:rsid w:val="00DA11CE"/>
    <w:rsid w:val="00EE443A"/>
    <w:rsid w:val="00EE7574"/>
    <w:rsid w:val="00F13FBA"/>
    <w:rsid w:val="00FA4540"/>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12</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11</cp:revision>
  <cp:lastPrinted>2022-05-04T19:47:00Z</cp:lastPrinted>
  <dcterms:created xsi:type="dcterms:W3CDTF">2022-04-27T22:28:00Z</dcterms:created>
  <dcterms:modified xsi:type="dcterms:W3CDTF">2022-05-06T19:38:00Z</dcterms:modified>
</cp:coreProperties>
</file>