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3DD8" w14:textId="5F25FCD4" w:rsidR="00BD6549" w:rsidRPr="00517873" w:rsidRDefault="007F5DD8">
      <w:pPr>
        <w:rPr>
          <w:rFonts w:ascii="Arial" w:hAnsi="Arial" w:cs="Arial"/>
          <w:sz w:val="22"/>
          <w:szCs w:val="22"/>
        </w:rPr>
      </w:pPr>
      <w:r w:rsidRPr="007F5DD8">
        <w:rPr>
          <w:rFonts w:ascii="Arial" w:hAnsi="Arial" w:cs="Arial"/>
          <w:noProof/>
          <w:sz w:val="22"/>
          <w:szCs w:val="22"/>
        </w:rPr>
        <w:object w:dxaOrig="14420" w:dyaOrig="4220" w14:anchorId="38284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36pt;height:156.35pt;mso-width-percent:0;mso-height-percent:0;mso-width-percent:0;mso-height-percent:0" o:ole="">
            <v:imagedata r:id="rId4" o:title=""/>
          </v:shape>
          <o:OLEObject Type="Embed" ProgID="Unknown" ShapeID="_x0000_i1028" DrawAspect="Content" ObjectID="_1713007592" r:id="rId5"/>
        </w:object>
      </w:r>
    </w:p>
    <w:p w14:paraId="4F613CD6" w14:textId="6EF771C8" w:rsidR="00517873" w:rsidRDefault="00517873">
      <w:pPr>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sidR="00FA4540">
        <w:rPr>
          <w:rFonts w:ascii="Arial" w:hAnsi="Arial" w:cs="Arial"/>
          <w:b/>
          <w:bCs/>
          <w:sz w:val="22"/>
          <w:szCs w:val="22"/>
        </w:rPr>
        <w:t xml:space="preserve"> </w:t>
      </w:r>
      <w:r w:rsidR="00FA4540">
        <w:rPr>
          <w:rFonts w:ascii="Arial" w:hAnsi="Arial" w:cs="Arial"/>
          <w:sz w:val="22"/>
          <w:szCs w:val="22"/>
        </w:rPr>
        <w:t xml:space="preserve">Mice maintained body weight </w:t>
      </w:r>
      <w:r w:rsidR="00284E67">
        <w:rPr>
          <w:rFonts w:ascii="Arial" w:hAnsi="Arial" w:cs="Arial"/>
          <w:sz w:val="22"/>
          <w:szCs w:val="22"/>
        </w:rPr>
        <w:t>and all mice survived through the study.</w:t>
      </w:r>
      <w:r w:rsidR="003124CF">
        <w:rPr>
          <w:rFonts w:ascii="Arial" w:hAnsi="Arial" w:cs="Arial"/>
          <w:sz w:val="22"/>
          <w:szCs w:val="22"/>
        </w:rPr>
        <w:t xml:space="preserve"> Untreated, non-genetic carriers (NCAR-</w:t>
      </w:r>
      <w:proofErr w:type="spellStart"/>
      <w:r w:rsidR="003124CF">
        <w:rPr>
          <w:rFonts w:ascii="Arial" w:hAnsi="Arial" w:cs="Arial"/>
          <w:sz w:val="22"/>
          <w:szCs w:val="22"/>
        </w:rPr>
        <w:t>Veh</w:t>
      </w:r>
      <w:proofErr w:type="spellEnd"/>
      <w:r w:rsidR="003124CF">
        <w:rPr>
          <w:rFonts w:ascii="Arial" w:hAnsi="Arial" w:cs="Arial"/>
          <w:sz w:val="22"/>
          <w:szCs w:val="22"/>
        </w:rPr>
        <w:t>), untreated, genetic careers (Hemi-</w:t>
      </w:r>
      <w:proofErr w:type="spellStart"/>
      <w:r w:rsidR="003124CF">
        <w:rPr>
          <w:rFonts w:ascii="Arial" w:hAnsi="Arial" w:cs="Arial"/>
          <w:sz w:val="22"/>
          <w:szCs w:val="22"/>
        </w:rPr>
        <w:t>Veh</w:t>
      </w:r>
      <w:proofErr w:type="spellEnd"/>
      <w:r w:rsidR="003124CF">
        <w:rPr>
          <w:rFonts w:ascii="Arial" w:hAnsi="Arial" w:cs="Arial"/>
          <w:sz w:val="22"/>
          <w:szCs w:val="22"/>
        </w:rPr>
        <w:t>), mabuterol-treated, genetic carriers (Hemi-</w:t>
      </w:r>
      <w:proofErr w:type="spellStart"/>
      <w:r w:rsidR="003124CF">
        <w:rPr>
          <w:rFonts w:ascii="Arial" w:hAnsi="Arial" w:cs="Arial"/>
          <w:sz w:val="22"/>
          <w:szCs w:val="22"/>
        </w:rPr>
        <w:t>Maburterol</w:t>
      </w:r>
      <w:proofErr w:type="spellEnd"/>
      <w:r w:rsidR="003124CF">
        <w:rPr>
          <w:rFonts w:ascii="Arial" w:hAnsi="Arial" w:cs="Arial"/>
          <w:sz w:val="22"/>
          <w:szCs w:val="22"/>
        </w:rPr>
        <w:t>)</w:t>
      </w:r>
      <w:r w:rsidR="00D92F1A">
        <w:rPr>
          <w:rFonts w:ascii="Arial" w:hAnsi="Arial" w:cs="Arial"/>
          <w:sz w:val="22"/>
          <w:szCs w:val="22"/>
        </w:rPr>
        <w:t xml:space="preserve"> are represented by blue, red, green, and purple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2D6B878F" w:rsidR="003124CF" w:rsidRDefault="007F5DD8">
      <w:pPr>
        <w:rPr>
          <w:rFonts w:ascii="Arial" w:hAnsi="Arial" w:cs="Arial"/>
          <w:sz w:val="22"/>
          <w:szCs w:val="22"/>
        </w:rPr>
      </w:pPr>
      <w:r w:rsidRPr="007F5DD8">
        <w:rPr>
          <w:rFonts w:ascii="Arial" w:hAnsi="Arial" w:cs="Arial"/>
          <w:noProof/>
          <w:sz w:val="22"/>
          <w:szCs w:val="22"/>
        </w:rPr>
        <w:object w:dxaOrig="12740" w:dyaOrig="7840" w14:anchorId="7D1CE4EA">
          <v:shape id="_x0000_i1027" type="#_x0000_t75" alt="" style="width:524.35pt;height:322.9pt;mso-width-percent:0;mso-height-percent:0;mso-width-percent:0;mso-height-percent:0" o:ole="">
            <v:imagedata r:id="rId6" o:title=""/>
          </v:shape>
          <o:OLEObject Type="Embed" ProgID="Unknown" ShapeID="_x0000_i1027" DrawAspect="Content" ObjectID="_1713007593" r:id="rId7"/>
        </w:object>
      </w:r>
    </w:p>
    <w:p w14:paraId="012038ED" w14:textId="604D591B" w:rsidR="00D92F1A" w:rsidRDefault="00D92F1A" w:rsidP="00D92F1A">
      <w:pPr>
        <w:rPr>
          <w:rFonts w:ascii="Arial" w:hAnsi="Arial" w:cs="Arial"/>
          <w:sz w:val="22"/>
          <w:szCs w:val="22"/>
        </w:rPr>
      </w:pPr>
      <w:r>
        <w:rPr>
          <w:rFonts w:ascii="Arial" w:hAnsi="Arial" w:cs="Arial"/>
          <w:b/>
          <w:bCs/>
          <w:sz w:val="22"/>
          <w:szCs w:val="22"/>
        </w:rPr>
        <w:t xml:space="preserve">Supplementary Figure 3. Activity chamber </w:t>
      </w:r>
      <w:r w:rsidR="004006BE">
        <w:rPr>
          <w:rFonts w:ascii="Arial" w:hAnsi="Arial" w:cs="Arial"/>
          <w:b/>
          <w:bCs/>
          <w:sz w:val="22"/>
          <w:szCs w:val="22"/>
        </w:rPr>
        <w:t>time shows no significant differences</w:t>
      </w:r>
      <w:r>
        <w:rPr>
          <w:rFonts w:ascii="Arial" w:hAnsi="Arial" w:cs="Arial"/>
          <w:b/>
          <w:bCs/>
          <w:sz w:val="22"/>
          <w:szCs w:val="22"/>
        </w:rPr>
        <w:t xml:space="preserve"> through the study. </w:t>
      </w:r>
      <w:r>
        <w:rPr>
          <w:rFonts w:ascii="Arial" w:hAnsi="Arial" w:cs="Arial"/>
          <w:sz w:val="22"/>
          <w:szCs w:val="22"/>
        </w:rPr>
        <w:t xml:space="preserve">We measured the distance moved (upper left), vertical counts (upper right), vertical time (lower left), and total duration of activity (lower right) across the duration of the study and observed no statistically significant differences. </w:t>
      </w:r>
      <w:r>
        <w:rPr>
          <w:rFonts w:ascii="Arial" w:hAnsi="Arial" w:cs="Arial"/>
          <w:sz w:val="22"/>
          <w:szCs w:val="22"/>
        </w:rPr>
        <w:t>Untreated, non-genetic carriers (NCAR-</w:t>
      </w:r>
      <w:proofErr w:type="spellStart"/>
      <w:r>
        <w:rPr>
          <w:rFonts w:ascii="Arial" w:hAnsi="Arial" w:cs="Arial"/>
          <w:sz w:val="22"/>
          <w:szCs w:val="22"/>
        </w:rPr>
        <w:t>Veh</w:t>
      </w:r>
      <w:proofErr w:type="spellEnd"/>
      <w:r>
        <w:rPr>
          <w:rFonts w:ascii="Arial" w:hAnsi="Arial" w:cs="Arial"/>
          <w:sz w:val="22"/>
          <w:szCs w:val="22"/>
        </w:rPr>
        <w:t>), untreated, genetic careers (Hemi-</w:t>
      </w:r>
      <w:proofErr w:type="spellStart"/>
      <w:r>
        <w:rPr>
          <w:rFonts w:ascii="Arial" w:hAnsi="Arial" w:cs="Arial"/>
          <w:sz w:val="22"/>
          <w:szCs w:val="22"/>
        </w:rPr>
        <w:t>Veh</w:t>
      </w:r>
      <w:proofErr w:type="spellEnd"/>
      <w:r>
        <w:rPr>
          <w:rFonts w:ascii="Arial" w:hAnsi="Arial" w:cs="Arial"/>
          <w:sz w:val="22"/>
          <w:szCs w:val="22"/>
        </w:rPr>
        <w:t>), mabuterol-treated, genetic carriers (Hemi-</w:t>
      </w:r>
      <w:proofErr w:type="spellStart"/>
      <w:r>
        <w:rPr>
          <w:rFonts w:ascii="Arial" w:hAnsi="Arial" w:cs="Arial"/>
          <w:sz w:val="22"/>
          <w:szCs w:val="22"/>
        </w:rPr>
        <w:t>Maburterol</w:t>
      </w:r>
      <w:proofErr w:type="spellEnd"/>
      <w:r>
        <w:rPr>
          <w:rFonts w:ascii="Arial" w:hAnsi="Arial" w:cs="Arial"/>
          <w:sz w:val="22"/>
          <w:szCs w:val="22"/>
        </w:rPr>
        <w:t>) are represented by blue, red, green, and purple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79C413BC" w:rsidR="004006BE" w:rsidRDefault="007F5DD8">
      <w:pPr>
        <w:rPr>
          <w:rFonts w:ascii="Arial" w:hAnsi="Arial" w:cs="Arial"/>
          <w:sz w:val="22"/>
          <w:szCs w:val="22"/>
        </w:rPr>
      </w:pPr>
      <w:r w:rsidRPr="007F5DD8">
        <w:rPr>
          <w:rFonts w:ascii="Arial" w:hAnsi="Arial" w:cs="Arial"/>
          <w:noProof/>
          <w:sz w:val="22"/>
          <w:szCs w:val="22"/>
        </w:rPr>
        <w:object w:dxaOrig="14460" w:dyaOrig="3500" w14:anchorId="72361991">
          <v:shape id="_x0000_i1026" type="#_x0000_t75" alt="" style="width:527.25pt;height:128pt;mso-width-percent:0;mso-height-percent:0;mso-width-percent:0;mso-height-percent:0" o:ole="">
            <v:imagedata r:id="rId8" o:title=""/>
          </v:shape>
          <o:OLEObject Type="Embed" ProgID="Unknown" ShapeID="_x0000_i1026" DrawAspect="Content" ObjectID="_1713007594" r:id="rId9"/>
        </w:object>
      </w:r>
    </w:p>
    <w:p w14:paraId="683AAABB" w14:textId="004E293D" w:rsidR="004006BE" w:rsidRDefault="007F5DD8">
      <w:pPr>
        <w:rPr>
          <w:rFonts w:ascii="Arial" w:hAnsi="Arial" w:cs="Arial"/>
          <w:sz w:val="22"/>
          <w:szCs w:val="22"/>
        </w:rPr>
      </w:pPr>
      <w:r w:rsidRPr="007F5DD8">
        <w:rPr>
          <w:rFonts w:ascii="Arial" w:hAnsi="Arial" w:cs="Arial"/>
          <w:noProof/>
          <w:sz w:val="22"/>
          <w:szCs w:val="22"/>
        </w:rPr>
        <w:object w:dxaOrig="14560" w:dyaOrig="3680" w14:anchorId="5190C4BA">
          <v:shape id="_x0000_i1025" type="#_x0000_t75" alt="" style="width:533.1pt;height:134.55pt;mso-width-percent:0;mso-height-percent:0;mso-width-percent:0;mso-height-percent:0" o:ole="">
            <v:imagedata r:id="rId10" o:title=""/>
          </v:shape>
          <o:OLEObject Type="Embed" ProgID="Unknown" ShapeID="_x0000_i1025" DrawAspect="Content" ObjectID="_1713007595" r:id="rId11"/>
        </w:object>
      </w:r>
    </w:p>
    <w:p w14:paraId="0B40BA76" w14:textId="77777777" w:rsidR="004006BE" w:rsidRDefault="004006BE">
      <w:pPr>
        <w:rPr>
          <w:rFonts w:ascii="Arial" w:hAnsi="Arial" w:cs="Arial"/>
          <w:sz w:val="22"/>
          <w:szCs w:val="22"/>
        </w:rPr>
      </w:pPr>
    </w:p>
    <w:p w14:paraId="3D3EABD2" w14:textId="39CC6CE0" w:rsidR="004006BE" w:rsidRDefault="00F13FBA" w:rsidP="004006BE">
      <w:pPr>
        <w:rPr>
          <w:rFonts w:ascii="Arial" w:hAnsi="Arial" w:cs="Arial"/>
          <w:sz w:val="22"/>
          <w:szCs w:val="22"/>
        </w:rPr>
      </w:pPr>
      <w:r w:rsidRPr="004006BE">
        <w:rPr>
          <w:rFonts w:ascii="Arial" w:hAnsi="Arial" w:cs="Arial"/>
          <w:b/>
          <w:bCs/>
          <w:sz w:val="22"/>
          <w:szCs w:val="22"/>
        </w:rPr>
        <w:t xml:space="preserve">Supplementary Figure 4. </w:t>
      </w:r>
      <w:r w:rsidR="004006BE" w:rsidRPr="004006BE">
        <w:rPr>
          <w:rFonts w:ascii="Arial" w:hAnsi="Arial" w:cs="Arial"/>
          <w:b/>
          <w:bCs/>
          <w:sz w:val="22"/>
          <w:szCs w:val="22"/>
        </w:rPr>
        <w:t>Y-maze FA shows no difference across treatment groups</w:t>
      </w:r>
      <w:r w:rsidR="004006BE">
        <w:rPr>
          <w:rFonts w:ascii="Arial" w:hAnsi="Arial" w:cs="Arial"/>
          <w:sz w:val="22"/>
          <w:szCs w:val="22"/>
        </w:rPr>
        <w:t xml:space="preserve">. We measured duration of time in novel and familiar arms at 4 weeks (upper left) and 7 weeks (lower left), total duration of time spent in novel and each familiar arms at 4 weeks (upper middle) and 7 weeks (lower middle), and total duration spent in novel arms and either familiar arm at 4 weeks (upper right) and 7 weeks (lower right). </w:t>
      </w:r>
      <w:r w:rsidR="004006BE">
        <w:rPr>
          <w:rFonts w:ascii="Arial" w:hAnsi="Arial" w:cs="Arial"/>
          <w:sz w:val="22"/>
          <w:szCs w:val="22"/>
        </w:rPr>
        <w:t>Untreated, non-genetic carriers (NCAR-</w:t>
      </w:r>
      <w:proofErr w:type="spellStart"/>
      <w:r w:rsidR="004006BE">
        <w:rPr>
          <w:rFonts w:ascii="Arial" w:hAnsi="Arial" w:cs="Arial"/>
          <w:sz w:val="22"/>
          <w:szCs w:val="22"/>
        </w:rPr>
        <w:t>Veh</w:t>
      </w:r>
      <w:proofErr w:type="spellEnd"/>
      <w:r w:rsidR="004006BE">
        <w:rPr>
          <w:rFonts w:ascii="Arial" w:hAnsi="Arial" w:cs="Arial"/>
          <w:sz w:val="22"/>
          <w:szCs w:val="22"/>
        </w:rPr>
        <w:t>), untreated, genetic careers (Hemi-</w:t>
      </w:r>
      <w:proofErr w:type="spellStart"/>
      <w:r w:rsidR="004006BE">
        <w:rPr>
          <w:rFonts w:ascii="Arial" w:hAnsi="Arial" w:cs="Arial"/>
          <w:sz w:val="22"/>
          <w:szCs w:val="22"/>
        </w:rPr>
        <w:t>Veh</w:t>
      </w:r>
      <w:proofErr w:type="spellEnd"/>
      <w:r w:rsidR="004006BE">
        <w:rPr>
          <w:rFonts w:ascii="Arial" w:hAnsi="Arial" w:cs="Arial"/>
          <w:sz w:val="22"/>
          <w:szCs w:val="22"/>
        </w:rPr>
        <w:t>), mabuterol-treated, genetic carriers (Hemi-</w:t>
      </w:r>
      <w:proofErr w:type="spellStart"/>
      <w:r w:rsidR="004006BE">
        <w:rPr>
          <w:rFonts w:ascii="Arial" w:hAnsi="Arial" w:cs="Arial"/>
          <w:sz w:val="22"/>
          <w:szCs w:val="22"/>
        </w:rPr>
        <w:t>Maburterol</w:t>
      </w:r>
      <w:proofErr w:type="spellEnd"/>
      <w:r w:rsidR="004006BE">
        <w:rPr>
          <w:rFonts w:ascii="Arial" w:hAnsi="Arial" w:cs="Arial"/>
          <w:sz w:val="22"/>
          <w:szCs w:val="22"/>
        </w:rPr>
        <w:t>) are represented by blue, red, green, and purple data curves.</w:t>
      </w:r>
    </w:p>
    <w:p w14:paraId="72799A8C" w14:textId="3E2AF082" w:rsidR="00EE7574" w:rsidRDefault="00EE7574" w:rsidP="004006BE">
      <w:pPr>
        <w:rPr>
          <w:rFonts w:ascii="Arial" w:hAnsi="Arial" w:cs="Arial"/>
          <w:sz w:val="22"/>
          <w:szCs w:val="22"/>
        </w:rPr>
      </w:pPr>
    </w:p>
    <w:p w14:paraId="3780D036" w14:textId="77777777" w:rsidR="00EE7574" w:rsidRDefault="00EE7574" w:rsidP="004006BE">
      <w:pPr>
        <w:rPr>
          <w:rFonts w:ascii="Arial" w:hAnsi="Arial" w:cs="Arial"/>
          <w:b/>
          <w:bCs/>
          <w:sz w:val="22"/>
          <w:szCs w:val="22"/>
        </w:rPr>
      </w:pPr>
    </w:p>
    <w:p w14:paraId="7657EE15" w14:textId="77777777" w:rsidR="009F3CF9" w:rsidRDefault="009F3CF9" w:rsidP="004006BE">
      <w:pPr>
        <w:rPr>
          <w:rFonts w:ascii="Arial" w:hAnsi="Arial" w:cs="Arial"/>
          <w:b/>
          <w:bCs/>
          <w:sz w:val="22"/>
          <w:szCs w:val="22"/>
        </w:rPr>
      </w:pPr>
    </w:p>
    <w:p w14:paraId="10598A9D" w14:textId="55714B05" w:rsidR="00EE7574" w:rsidRPr="00EE7574" w:rsidRDefault="00EE7574" w:rsidP="004006BE">
      <w:pPr>
        <w:rPr>
          <w:rFonts w:ascii="Arial" w:hAnsi="Arial" w:cs="Arial"/>
          <w:b/>
          <w:bCs/>
          <w:sz w:val="22"/>
          <w:szCs w:val="22"/>
        </w:rPr>
      </w:pPr>
      <w:r>
        <w:rPr>
          <w:rFonts w:ascii="Arial" w:hAnsi="Arial" w:cs="Arial"/>
          <w:b/>
          <w:bCs/>
          <w:sz w:val="22"/>
          <w:szCs w:val="22"/>
        </w:rPr>
        <w:t xml:space="preserve">Supplementary Figure 5. Protein level changes varied across treatment group. </w:t>
      </w:r>
    </w:p>
    <w:p w14:paraId="113C39C4" w14:textId="28526FC8" w:rsidR="00686BC8" w:rsidRPr="00D92F1A" w:rsidRDefault="00686BC8">
      <w:pPr>
        <w:rPr>
          <w:rFonts w:ascii="Arial" w:hAnsi="Arial" w:cs="Arial"/>
          <w:sz w:val="22"/>
          <w:szCs w:val="22"/>
        </w:rPr>
      </w:pPr>
    </w:p>
    <w:sectPr w:rsidR="00686BC8" w:rsidRPr="00D92F1A" w:rsidSect="005178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284E67"/>
    <w:rsid w:val="003124CF"/>
    <w:rsid w:val="004006BE"/>
    <w:rsid w:val="00517873"/>
    <w:rsid w:val="00686BC8"/>
    <w:rsid w:val="00745166"/>
    <w:rsid w:val="007F5DD8"/>
    <w:rsid w:val="009F3CF9"/>
    <w:rsid w:val="00BD6549"/>
    <w:rsid w:val="00D92F1A"/>
    <w:rsid w:val="00EE443A"/>
    <w:rsid w:val="00EE7574"/>
    <w:rsid w:val="00F13FBA"/>
    <w:rsid w:val="00FA4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2</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4</cp:revision>
  <dcterms:created xsi:type="dcterms:W3CDTF">2022-04-27T22:28:00Z</dcterms:created>
  <dcterms:modified xsi:type="dcterms:W3CDTF">2022-05-02T21:38:00Z</dcterms:modified>
</cp:coreProperties>
</file>