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Problem #4-15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Make The World Better</w:t>
      </w:r>
      <w:r>
        <w:rPr>
          <w:rtl w:val="0"/>
        </w:rPr>
        <w:tab/>
        <w:tab/>
        <w:tab/>
        <w:tab/>
        <w:t>Prepared by: Jenya Lestina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Project Scope Statement</w:t>
      </w:r>
      <w:r>
        <w:rPr>
          <w:rtl w:val="0"/>
        </w:rPr>
        <w:tab/>
        <w:tab/>
        <w:tab/>
        <w:tab/>
        <w:t>Date: June 18, 2018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General Project Information</w:t>
      </w:r>
    </w:p>
    <w:p>
      <w:pPr>
        <w:pStyle w:val="Body"/>
        <w:bidi w:val="0"/>
        <w:ind w:left="720"/>
      </w:pPr>
      <w:r>
        <w:rPr>
          <w:b w:val="1"/>
          <w:bCs w:val="1"/>
          <w:rtl w:val="0"/>
          <w:lang w:val="en-US"/>
        </w:rPr>
        <w:t>Project Name:</w:t>
        <w:tab/>
      </w:r>
      <w:r>
        <w:rPr>
          <w:rtl w:val="0"/>
        </w:rPr>
        <w:tab/>
        <w:t>Website for Make The World Better</w:t>
      </w:r>
    </w:p>
    <w:p>
      <w:pPr>
        <w:pStyle w:val="Body"/>
        <w:bidi w:val="0"/>
        <w:ind w:left="720"/>
      </w:pPr>
      <w:r>
        <w:rPr>
          <w:b w:val="1"/>
          <w:bCs w:val="1"/>
          <w:rtl w:val="0"/>
          <w:lang w:val="en-US"/>
        </w:rPr>
        <w:t>Sponsor:</w:t>
      </w:r>
      <w:r>
        <w:rPr>
          <w:rtl w:val="0"/>
        </w:rPr>
        <w:tab/>
        <w:tab/>
        <w:tab/>
        <w:t>Ben Carsten, VP Fundraising</w:t>
      </w:r>
    </w:p>
    <w:p>
      <w:pPr>
        <w:pStyle w:val="Body"/>
        <w:bidi w:val="0"/>
        <w:ind w:left="720"/>
      </w:pPr>
      <w:r>
        <w:rPr>
          <w:b w:val="1"/>
          <w:bCs w:val="1"/>
          <w:rtl w:val="0"/>
          <w:lang w:val="en-US"/>
        </w:rPr>
        <w:t>Project Manager:</w:t>
      </w:r>
      <w:r>
        <w:rPr>
          <w:rtl w:val="0"/>
        </w:rPr>
        <w:tab/>
        <w:tab/>
        <w:t>Jenya Lestina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Problem/Opportunity Statement:</w:t>
      </w:r>
    </w:p>
    <w:p>
      <w:pPr>
        <w:pStyle w:val="Body"/>
        <w:bidi w:val="0"/>
        <w:ind w:left="720"/>
      </w:pPr>
      <w:r>
        <w:rPr>
          <w:rtl w:val="0"/>
        </w:rPr>
        <w:t>Make The World Better does not currently have a website. Adding an effective, modern website will assist them in their mission and improve their fundraising by helping them find donors and volunteers, helping to communicate their mission.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Project Objectives:</w:t>
      </w:r>
    </w:p>
    <w:p>
      <w:pPr>
        <w:pStyle w:val="Body"/>
        <w:bidi w:val="0"/>
        <w:ind w:left="720"/>
      </w:pPr>
      <w:r>
        <w:rPr>
          <w:rtl w:val="0"/>
        </w:rPr>
        <w:t xml:space="preserve">To allow the fundraising department to more effectively get funds from a broader base of contributors, </w:t>
      </w:r>
      <w:r>
        <w:rPr>
          <w:rtl w:val="0"/>
        </w:rPr>
        <w:t xml:space="preserve">and </w:t>
      </w:r>
      <w:r>
        <w:rPr>
          <w:rtl w:val="0"/>
        </w:rPr>
        <w:t xml:space="preserve">to increase public awareness of </w:t>
      </w:r>
      <w:r>
        <w:rPr>
          <w:rtl w:val="0"/>
        </w:rPr>
        <w:t>Make The World Better</w:t>
      </w:r>
      <w:r>
        <w:rPr>
          <w:rtl w:val="0"/>
        </w:rPr>
        <w:t>'s mission.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Project Description:</w:t>
      </w:r>
    </w:p>
    <w:p>
      <w:pPr>
        <w:pStyle w:val="Body"/>
        <w:bidi w:val="0"/>
        <w:ind w:left="720"/>
      </w:pPr>
      <w:r>
        <w:rPr>
          <w:rtl w:val="0"/>
        </w:rPr>
        <w:t>A responsive website that is mobile-enabled and works across multiple platforms, that effectively communicates Make The World Better</w:t>
      </w:r>
      <w:r>
        <w:rPr>
          <w:rtl w:val="0"/>
        </w:rPr>
        <w:t>’</w:t>
      </w:r>
      <w:r>
        <w:rPr>
          <w:rtl w:val="0"/>
        </w:rPr>
        <w:t xml:space="preserve">s mission, vision, and brand, and that includes functionality to </w:t>
      </w:r>
      <w:r>
        <w:rPr>
          <w:rtl w:val="0"/>
        </w:rPr>
        <w:t>let users donate money, sign up to volunteer, or sign up for the mailing list.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Business Benefits:</w:t>
      </w:r>
    </w:p>
    <w:p>
      <w:pPr>
        <w:pStyle w:val="Body"/>
        <w:bidi w:val="0"/>
        <w:ind w:left="720"/>
      </w:pPr>
      <w:r>
        <w:rPr>
          <w:rtl w:val="0"/>
        </w:rPr>
        <w:t>Improve Make The World Better</w:t>
      </w:r>
      <w:r>
        <w:rPr>
          <w:rtl w:val="0"/>
        </w:rPr>
        <w:t>’</w:t>
      </w:r>
      <w:r>
        <w:rPr>
          <w:rtl w:val="0"/>
        </w:rPr>
        <w:t>s brand</w:t>
      </w:r>
    </w:p>
    <w:p>
      <w:pPr>
        <w:pStyle w:val="Body"/>
        <w:bidi w:val="0"/>
        <w:ind w:left="720"/>
      </w:pPr>
      <w:r>
        <w:rPr>
          <w:rtl w:val="0"/>
        </w:rPr>
        <w:t>Increase donations and volunteer numbers</w:t>
      </w:r>
    </w:p>
    <w:p>
      <w:pPr>
        <w:pStyle w:val="Body"/>
        <w:bidi w:val="0"/>
        <w:ind w:left="720"/>
      </w:pPr>
      <w:r>
        <w:rPr>
          <w:rtl w:val="0"/>
        </w:rPr>
        <w:t>Build web-based mailing list of potential supporters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Project deliverables:</w:t>
      </w:r>
    </w:p>
    <w:p>
      <w:pPr>
        <w:pStyle w:val="Body"/>
        <w:bidi w:val="0"/>
        <w:ind w:left="720"/>
      </w:pPr>
      <w:r>
        <w:rPr>
          <w:rtl w:val="0"/>
        </w:rPr>
        <w:t>Website analysis and design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Website wireframe (mockup)</w:t>
      </w:r>
    </w:p>
    <w:p>
      <w:pPr>
        <w:pStyle w:val="Body"/>
        <w:bidi w:val="0"/>
        <w:ind w:left="720"/>
      </w:pPr>
      <w:r>
        <w:rPr>
          <w:rtl w:val="0"/>
        </w:rPr>
        <w:t>Full-functioning website with mailing list signup, donation, and volunteer signup capabilities</w:t>
      </w:r>
    </w:p>
    <w:p>
      <w:pPr>
        <w:pStyle w:val="Body"/>
        <w:bidi w:val="0"/>
        <w:ind w:left="720"/>
      </w:pPr>
      <w:r>
        <w:rPr>
          <w:rtl w:val="0"/>
        </w:rPr>
        <w:t>Project documentation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Estimated project duration: </w:t>
      </w:r>
    </w:p>
    <w:p>
      <w:pPr>
        <w:pStyle w:val="Body"/>
        <w:bidi w:val="0"/>
        <w:ind w:left="720"/>
      </w:pPr>
      <w:r>
        <w:rPr>
          <w:rtl w:val="0"/>
        </w:rPr>
        <w:t>6 months</w:t>
      </w:r>
    </w:p>
    <w:p>
      <w:pPr>
        <w:pStyle w:val="Body"/>
        <w:bidi w:val="0"/>
        <w:ind w:left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Problem #4-17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all numbers are in thousands of dollars and rounded to the nearest tenth.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0"/>
        <w:gridCol w:w="911"/>
        <w:gridCol w:w="1000"/>
        <w:gridCol w:w="1104"/>
        <w:gridCol w:w="1071"/>
        <w:gridCol w:w="1170"/>
        <w:gridCol w:w="1169"/>
        <w:gridCol w:w="1170"/>
      </w:tblGrid>
      <w:tr>
        <w:tblPrEx>
          <w:shd w:val="clear" w:color="auto" w:fill="bdc0bf"/>
        </w:tblPrEx>
        <w:trPr>
          <w:trHeight w:val="262" w:hRule="atLeast"/>
          <w:tblHeader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totals</w:t>
            </w:r>
          </w:p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Net benefit</w:t>
            </w:r>
          </w:p>
        </w:tc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9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</w:t>
            </w:r>
          </w:p>
        </w:tc>
        <w:tc>
          <w:tcPr>
            <w:tcW w:type="dxa" w:w="110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PV of benefits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75.9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67.8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60.5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54.0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48.2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NPV of benefits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75.9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143.7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204.2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258.2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306.4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306.4</w:t>
            </w:r>
          </w:p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one time costs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recurring costs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PV of recurring costs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31.3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27.9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24.9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19.9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NPV of costs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106.3</w:t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134.2</w:t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159.1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181.3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201.2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201.2</w:t>
            </w:r>
          </w:p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overall NPV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105.2</w:t>
            </w:r>
          </w:p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ROI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0.52</w:t>
            </w:r>
          </w:p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Break-even analysis: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Yearly NPV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-75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C3-C7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44.6</w:t>
            </w:r>
            <w:r>
              <w:rPr/>
              <w:fldChar w:fldCharType="end" w:fldLock="0"/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D3-D7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39.9</w:t>
            </w:r>
            <w:r>
              <w:rPr/>
              <w:fldChar w:fldCharType="end" w:fldLock="0"/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E3-E7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35.6</w:t>
            </w:r>
            <w:r>
              <w:rPr/>
              <w:fldChar w:fldCharType="end" w:fldLock="0"/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F3-F7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31.8</w:t>
            </w:r>
            <w:r>
              <w:rPr/>
              <w:fldChar w:fldCharType="end" w:fldLock="0"/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G3-G7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28.3</w:t>
            </w:r>
            <w:r>
              <w:rPr/>
              <w:fldChar w:fldCharType="end" w:fldLock="0"/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2" w:hRule="atLeast"/>
        </w:trPr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Overall NPV</w:t>
            </w:r>
          </w:p>
        </w:tc>
        <w:tc>
          <w:tcPr>
            <w:tcW w:type="dxa" w:w="91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-75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C4-C8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-30.4</w:t>
            </w:r>
            <w:r>
              <w:rPr/>
              <w:fldChar w:fldCharType="end" w:fldLock="0"/>
            </w:r>
          </w:p>
        </w:tc>
        <w:tc>
          <w:tcPr>
            <w:tcW w:type="dxa" w:w="11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D4-D8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</w:t>
            </w:r>
            <w:r>
              <w:rPr/>
              <w:fldChar w:fldCharType="end" w:fldLock="0"/>
            </w:r>
          </w:p>
        </w:tc>
        <w:tc>
          <w:tcPr>
            <w:tcW w:type="dxa" w:w="10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E4-E8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45.1</w:t>
            </w:r>
            <w:r>
              <w:rPr/>
              <w:fldChar w:fldCharType="end" w:fldLock="0"/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F4-F8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76.9</w:t>
            </w:r>
            <w:r>
              <w:rPr/>
              <w:fldChar w:fldCharType="end" w:fldLock="0"/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G4-G8 \# "0" \* MERGEFORMAT</w:instrText>
            </w:r>
            <w:r>
              <w:rPr/>
              <w:fldChar w:fldCharType="separate" w:fldLock="0"/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105.2</w:t>
            </w:r>
            <w:r>
              <w:rPr/>
              <w:fldChar w:fldCharType="end" w:fldLock="0"/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Breakeven occurs between years 1 and 2.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