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UNIVERSIDADE DO ESTADO DA BAHIA – UNEB</w:t>
      </w:r>
    </w:p>
    <w:p>
      <w:pPr>
        <w:jc w:val="center"/>
      </w:pPr>
      <w:r>
        <w:rPr>
          <w:rFonts w:ascii="Arial" w:cs="Arial" w:eastAsia="Arial" w:hAnsi="Arial"/>
          <w:sz w:val="20"/>
          <w:szCs w:val="20"/>
        </w:rPr>
        <w:t xml:space="preserve">Departamento de Ciências Exatas e da Terra, Colegiado de Sistemas de Informação</w:t>
      </w:r>
    </w:p>
    <w:p>
      <w:pPr>
        <w:jc w:val="center"/>
      </w:pPr>
      <w:r>
        <w:rPr>
          <w:rFonts w:ascii="Arial" w:cs="Arial" w:eastAsia="Arial" w:hAnsi="Arial"/>
          <w:sz w:val="20"/>
          <w:szCs w:val="20"/>
        </w:rPr>
        <w:t xml:space="preserve">Disciplina: Metodologia da Pesquisa em Informática</w:t>
      </w:r>
    </w:p>
    <w:p>
      <w:pPr>
        <w:spacing w:after="200" w:before="160"/>
        <w:jc w:val="center"/>
      </w:pPr>
      <w:r>
        <w:rPr>
          <w:rFonts w:ascii="Arial" w:cs="Arial" w:eastAsia="Arial" w:hAnsi="Arial"/>
          <w:b/>
          <w:bCs/>
          <w:color w:val="C00000"/>
          <w:sz w:val="26"/>
          <w:szCs w:val="26"/>
        </w:rPr>
        <w:t xml:space="preserve">TRABALHO 3, ENTREGA PARCIAL 2: Dados Parciais e Análise Inicial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Grupo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Grupo 3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Integrantes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Jeoston Araujo, Daiane Santos, Eric de Jesus, Camily Victória Mestres, Elber Figueredo, Rafael da Mata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Título provisório do trabalho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Mitigação Prática da Fragmentação de Tópicos no BERTopic Aplicado à Literatura Científica</w:t>
      </w:r>
    </w:p>
    <w:p>
      <w:pPr>
        <w:pStyle w:val="Heading2"/>
      </w:pPr>
      <w:r>
        <w:t xml:space="preserve">4. O que foi executado até agora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Executado: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Coleta real de 1000 artigos científicos de Computação via API do arXiv, distribuídos entre 8 subáreas: cs.AI (Inteligência Artificial), cs.CL (Processamento de Linguagem Natural), cs.CV (Visão Computacional), cs.LG (Aprendizado de Máquina), cs.CR (Criptografia e Segurança), cs.SE (Engenharia de Software), cs.DB (Bancos de Dados) e cs.DC (Computação Distribuída). O snapshot bruto foi versionado no repositório para garantir reprodutibilidade.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Pré-processamento completo: limpeza via regex, lematização (spaCy) e extração de n-grams técnicos (Gensim Phrases).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Geração de embeddings genéricos (Sentence-Transformers MiniLM) e de domínio específico (SciBERT com mean pooling).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Execução do baseline LDA (Gensim), do BERTopic padrão (HDBSCAN) e da configuração proposta (UMAP + K-Means, k definido automaticamente pelo Método do Cotovelo via biblioteca kneed).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Cada configuração BERTopic executada 3x com seeds distintas (42, 7, 123), reportando média ± desvio-padrão.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Cálculo de Coherence Score (Cv, via Gensim), Taxa de Retenção de Documentos e Informação Mútua Ajustada (AMI).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Geração de 5 visualizações: curva do cotovelo, dispersão UMAP 2D (clusters vs. categoria), gráfico comparativo de métricas, distribuição do nº de documentos por tópico (todas as configs) e comparação lado a lado HDBSCAN vs. UMAP+K-Means na mesma projeção.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Pipeline reprodutível: requirements.txt fixado, logging completo em arquivo, código versionado no GitHub.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Ainda não executado: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Avaliação estruturada/formal por especialista humano dos tópicos (apenas inspeção qualitativa preliminar do grupo até aqui).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Teste estatístico formal (ex.: Wilcoxon) sobre a diferença de Cv entre HDBSCAN e UMAP+K-Means.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Redação final do relatório, discussão aprofundada e consolidação das referências.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Mudanças em relação à Parcial 1: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Fonte de dados alterada de IEEE Xplore/SpringerLink (exigem acesso institucional/chave paga) para a API do arXiv (aberta, gratuita e reprodutível), mantendo o domínio de Computação.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Adoção de AMI (Adjusted Mutual Information) no lugar de MI bruta: MI cresce com o número de clusters e não é corrigida ao acaso, o que enviesaria a comparação entre HDBSCAN e K-Means (que produzem quantidades diferentes de tópicos).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Inclusão de uma validação quantitativa extra: AMI entre os clusters encontrados e a categoria primária do arXiv (rótulo-proxy), complementando o Cv puramente intrínseco.</w:t>
      </w:r>
    </w:p>
    <w:p>
      <w:pPr>
        <w:pStyle w:val="Heading2"/>
      </w:pPr>
      <w:r>
        <w:t xml:space="preserve">5. Tipo de dado utilizado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☑ Dados reais: 1000 artigos científicos reais extraídos da API pública do arXiv. Não são dados sintéticos, piloto simulado ou mistos.</w:t>
      </w:r>
    </w:p>
    <w:p>
      <w:pPr>
        <w:pStyle w:val="Heading2"/>
      </w:pPr>
      <w:r>
        <w:t xml:space="preserve">6. Descrição da base de dados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480"/>
      </w:tblGrid>
      <w:tr>
        <w:tc>
          <w:tcPr>
            <w:tcW w:type="dxa" w:w="3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Quantidade de observações</w:t>
            </w:r>
          </w:p>
        </w:tc>
        <w:tc>
          <w:tcPr>
            <w:tcW w:type="dxa" w:w="648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1000 artigos (abstracts)</w:t>
            </w:r>
          </w:p>
        </w:tc>
      </w:tr>
      <w:tr>
        <w:tc>
          <w:tcPr>
            <w:tcW w:type="dxa" w:w="3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Quantidade de variáveis/colunas</w:t>
            </w:r>
          </w:p>
        </w:tc>
        <w:tc>
          <w:tcPr>
            <w:tcW w:type="dxa" w:w="648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 (arxiv_id, title, abstract, primary_category, categories, published, query_category, clean_text, lemma_tokens)</w:t>
            </w:r>
          </w:p>
        </w:tc>
      </w:tr>
      <w:tr>
        <w:tc>
          <w:tcPr>
            <w:tcW w:type="dxa" w:w="3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Unidade observacional</w:t>
            </w:r>
          </w:p>
        </w:tc>
        <w:tc>
          <w:tcPr>
            <w:tcW w:type="dxa" w:w="648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Documento (artigo científico / abstract)</w:t>
            </w:r>
          </w:p>
        </w:tc>
      </w:tr>
      <w:tr>
        <w:tc>
          <w:tcPr>
            <w:tcW w:type="dxa" w:w="3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Variáveis principais da análise</w:t>
            </w:r>
          </w:p>
        </w:tc>
        <w:tc>
          <w:tcPr>
            <w:tcW w:type="dxa" w:w="648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Texto do abstract, categoria primária arXiv (rótulo-proxy), embeddings gerados, rótulo de cluster atribuído por configuração</w:t>
            </w:r>
          </w:p>
        </w:tc>
      </w:tr>
    </w:tbl>
    <w:p>
      <w:pPr>
        <w:pStyle w:val="Heading2"/>
        <w:spacing w:before="240"/>
      </w:pPr>
      <w:r>
        <w:t xml:space="preserve">7. Tabela parcial de resultados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700"/>
        <w:gridCol w:w="1700"/>
        <w:gridCol w:w="1400"/>
        <w:gridCol w:w="1400"/>
        <w:gridCol w:w="1480"/>
      </w:tblGrid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Configuração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Embedding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Cv (média±dp)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Retenção %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Nº tópicos</w:t>
            </w:r>
          </w:p>
        </w:tc>
        <w:tc>
          <w:tcPr>
            <w:tcW w:type="dxa" w:w="148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AMI vs categoria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LDA (Gensim)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N/A (BoW)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0,427 ± 0,013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100,0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48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N/A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HDBSCAN (baseline)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MiniLM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0,511 ± 0,006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66,6 ± 3,6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48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0,357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UMAP+K-Means (proposta)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MiniLM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0,500 ± 0,006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100,0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48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0,394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HDBSCAN (baseline)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SciBERT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0,440 ± 0,003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51,0 ± 4,2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48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0,218</w:t>
            </w:r>
          </w:p>
        </w:tc>
      </w:tr>
      <w:tr>
        <w:tc>
          <w:tcPr>
            <w:tcW w:type="dxa" w:w="2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UMAP+K-Means (proposta)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SciBERT</w:t>
            </w:r>
          </w:p>
        </w:tc>
        <w:tc>
          <w:tcPr>
            <w:tcW w:type="dxa" w:w="17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0,460 ± 0,007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100,0</w:t>
            </w:r>
          </w:p>
        </w:tc>
        <w:tc>
          <w:tcPr>
            <w:tcW w:type="dxa" w:w="14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48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E2EFDA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0,267</w:t>
            </w:r>
          </w:p>
        </w:tc>
      </w:tr>
    </w:tbl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Comentário sobre a tabela: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A tabela mostra 5 configurações sobre o mesmo corpus de 1000 artigos. A Taxa de Retenção é onde a proposta se destaca de forma inequívoca, com 100% em ambos os embeddings contra 66,6% (MiniLM) e apenas 51,0% (SciBERT) no HDBSCAN. O Coherence Score (Cv) já mostra um resultado mais matizado: com MiniLM, o HDBSCAN teve Cv levemente maior que a proposta (0,511 contra 0,500), enquanto com SciBERT a proposta manteve a vantagem (0,460 contra 0,440). Isso mostra que o ganho de coerência depende do tipo de embedding, e que o benefício mais consistente da proposta é a eliminação de outliers, não necessariamente um Cv superior.</w:t>
      </w:r>
    </w:p>
    <w:p>
      <w:pPr>
        <w:pStyle w:val="Heading2"/>
        <w:spacing w:before="240"/>
      </w:pPr>
      <w:r>
        <w:t xml:space="preserve">8. Gráfico parcial de resultados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1809750"/>
            <wp:effectExtent t="0" r="0" b="0" l="0"/>
            <wp:docPr id="1" name="metrics_comparison" descr="Gráfico de barras comparando Coherence Score e Taxa de Retenção entre as 5 configurações" title="metrics_comparis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Comentário sobre o gráfico: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O painel esquerdo mostra o Coherence Score (Cv, eixo Y, de 0 a 1) de cada uma das 5 configurações (eixo X): LDA (0,427), HDBSCAN+MiniLM (0,511), UMAP+K-Means+MiniLM (0,500), HDBSCAN+SciBERT (0,440) e UMAP+K-Means+SciBERT (0,460). As barras de erro (desvio-padrão das 3 execuções com seeds diferentes) mostram que a diferença de Cv entre HDBSCAN e a proposta é pequena e, no caso do MiniLM, cabe dentro dessa margem de variação. O painel direito mostra a Taxa de Retenção de Documentos, ou seja, o percentual de artigos atribuídos a algum tópico em vez de descartados como outlier. Aqui a diferença é grande e consistente: LDA e as duas configurações UMAP+K-Means chegam a 100%, enquanto o HDBSCAN retém só 66,6% dos documentos com embeddings genéricos e 51,0% com SciBERT, com barras de erro maiores, o que indica mais instabilidade entre execuções. O gráfico de barras foi escolhido por colocar as 5 configurações lado a lado nas duas métricas centrais da pesquisa. A leitura conjunta dos dois painéis sustenta o argumento central do trabalho: a proposta iguala ou aproxima o Cv do HDBSCAN sem descartar documentos, enquanto o HDBSCAN só atinge esse Cv às custas de excluir entre um terço e metade da amostra como outliers.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Figuras complementares: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Duas visualizações adicionais tornam a distribuição dos tópicos mais concreta e diretamente observável.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276600"/>
            <wp:effectExtent t="0" r="0" b="0" l="0"/>
            <wp:docPr id="1" name="topic_size_distribution" descr="Número de documentos por tópico em cada configuração, com outliers destacados em vermelho" title="topic_size_distribu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Nº de documentos por tópico (ordenado por tamanho) em cada configuração. Outliers em vermelho tracejado. Note o LDA e o HDBSCAN (MiniLM) com poucos tópicos grandes e uma cauda longa de tópicos pequenos, e a barra de outliers dominando o HDBSCAN (SciBERT), com 54,2% dos documentos.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2381250"/>
            <wp:effectExtent t="0" r="0" b="0" l="0"/>
            <wp:docPr id="1" name="hdbscan_vs_kmeans_scatter" descr="Comparação lado a lado, na mesma projeção UMAP 2D, entre HDBSCAN (com outliers em cinza) e UMAP+K-Means (sem outliers)" title="hdbscan_vs_kmeans_scat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Mesmo corpus, embedding (SciBERT) e projeção UMAP 2D nos dois painéis. Só o algoritmo de agrupamento muda. À esquerda, os pontos cinza em 'x' são os 54,2% de documentos que o HDBSCAN não conseguiu classificar. À direita, o K-Means atribui todos os pontos a um tópico.</w:t>
      </w:r>
    </w:p>
    <w:p>
      <w:pPr>
        <w:pStyle w:val="Heading2"/>
        <w:spacing w:before="240"/>
      </w:pPr>
      <w:r>
        <w:t xml:space="preserve">9. Estratégia de análise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480"/>
      </w:tblGrid>
      <w:tr>
        <w:tc>
          <w:tcPr>
            <w:tcW w:type="dxa" w:w="3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9.1 Estatísticas descritivas</w:t>
            </w:r>
          </w:p>
        </w:tc>
        <w:tc>
          <w:tcPr>
            <w:tcW w:type="dxa" w:w="648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Média e desvio-padrão de Cv e Taxa de Retenção sobre 3 execuções por configuração, contagem de tópicos e proporção de outliers.</w:t>
            </w:r>
          </w:p>
        </w:tc>
      </w:tr>
      <w:tr>
        <w:tc>
          <w:tcPr>
            <w:tcW w:type="dxa" w:w="3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9.2 Teste estatístico</w:t>
            </w:r>
          </w:p>
        </w:tc>
        <w:tc>
          <w:tcPr>
            <w:tcW w:type="dxa" w:w="648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Planejado, ainda não executado: teste de Wilcoxon (pareado, não paramétrico) comparando Cv de HDBSCAN vs. UMAP+K-Means entre as execuções, escolhido pelo n pequeno de repetições (n=3 nesta parcial, será ampliado para a entrega final).</w:t>
            </w:r>
          </w:p>
        </w:tc>
      </w:tr>
    </w:tbl>
    <w:p>
      <w:pPr>
        <w:pStyle w:val="Heading2"/>
        <w:spacing w:before="240"/>
      </w:pPr>
      <w:r>
        <w:t xml:space="preserve">10. Interpretação provisória</w:t>
      </w:r>
    </w:p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>Na amostra de 1000 artigos, a Taxa de Retenção é o benefício mais robusto e consistente da proposta, com 100% em ambos os embeddings contra 66,6% (MiniLM) e apenas 51,0% (SciBERT) no HDBSCAN. Essa queda acentuada de retenção com SciBERT mostra que o HDBSCAN é bastante sensível ao tipo de embedding usado, descartando mais da metade dos documentos como outliers quando aplicado sobre representações de domínio científico. O Coherence Score (Cv) mostrou um resultado mais matizado: com MiniLM, o HDBSCAN teve Cv levemente maior que a proposta (0,511 contra 0,500), enquanto com SciBERT a proposta manteve a vantagem (0,460 contra 0,440). Isso sugere que o ganho de coerência não é garantido nem uniforme entre embeddings, e que o benefício claro e consistente da abordagem proposta é a eliminação de outliers. A concordância com a categoria arXiv (AMI) foi mais alta para embeddings genéricos (0,394) do que para SciBERT (0,267) na configuração proposta, um resultado que contraria a expectativa inicial de que embeddings de domínio produziriam agrupamentos mais alinhados às subáreas estabelecidas.</w:t>
      </w:r>
    </w:p>
    <w:p>
      <w:pPr>
        <w:pStyle w:val="Heading2"/>
        <w:spacing w:before="240"/>
      </w:pPr>
      <w:r>
        <w:t xml:space="preserve">11. Limitações atuais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480"/>
      </w:tblGrid>
      <w:tr>
        <w:tc>
          <w:tcPr>
            <w:tcW w:type="dxa" w:w="3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Principal limitação dos dados</w:t>
            </w:r>
          </w:p>
        </w:tc>
        <w:tc>
          <w:tcPr>
            <w:tcW w:type="dxa" w:w="648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categoria primária do arXiv é apenas um rótulo-proxy, já que artigos são frequentemente cross-listed em múltiplas subáreas, e não uma verdade fundamental sobre tópicos corretos. O Cv também não reflete necessariamente a utilidade percebida por um especialista humano.</w:t>
            </w:r>
          </w:p>
        </w:tc>
      </w:tr>
      <w:tr>
        <w:tc>
          <w:tcPr>
            <w:tcW w:type="dxa" w:w="3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Principal ameaça à validade ainda aberta</w:t>
            </w:r>
          </w:p>
        </w:tc>
        <w:tc>
          <w:tcPr>
            <w:tcW w:type="dxa" w:w="648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Validade de conclusão: com apenas 3 execuções por configuração e uma diferença expressiva de retenção do HDBSCAN entre os dois embeddings (66,6% com MiniLM contra 51,0% com SciBERT), é preciso mais repetições e tamanhos de amostra antes de afirmações fortes sobre a magnitude e a estabilidade do ganho.</w:t>
            </w:r>
          </w:p>
        </w:tc>
      </w:tr>
      <w:tr>
        <w:tc>
          <w:tcPr>
            <w:tcW w:type="dxa" w:w="360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Principal dificuldade técnica/metodológica</w:t>
            </w:r>
          </w:p>
        </w:tc>
        <w:tc>
          <w:tcPr>
            <w:tcW w:type="dxa" w:w="6480"/>
            <w:tcBorders>
              <w:top w:val="single" w:color="999999" w:sz="2"/>
              <w:left w:val="single" w:color="999999" w:sz="2"/>
              <w:bottom w:val="single" w:color="999999" w:sz="2"/>
              <w:right w:val="single" w:color="999999" w:sz="2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 determinação automática de k pelo Método do Cotovelo (via KneeLocator) é sensível ao range de k testado, exigindo validação cruzada com inspeção visual da curva.</w:t>
            </w:r>
          </w:p>
        </w:tc>
      </w:tr>
    </w:tbl>
    <w:p>
      <w:pPr>
        <w:pStyle w:val="Heading2"/>
        <w:spacing w:before="240"/>
      </w:pPr>
      <w:r>
        <w:t xml:space="preserve">12. Próximos passos até a entrega final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Rodar de 5 a 10 repetições por configuração e testar outros tamanhos de amostra, para separar variação por seed de variação por volume de dados, e aplicar o teste de Wilcoxon formalmente.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Conduzir validação qualitativa estruturada com os membros do grupo, avaliando às cegas a interpretabilidade dos tópicos de cada configuração.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Testar sensibilidade dos parâmetros do UMAP (n_neighbors, min_dist) e do range de k no Método do Cotovelo.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Investigar por que a Taxa de Retenção do HDBSCAN caiu tanto com o embedding SciBERT (51,0%) em comparação ao MiniLM (66,6%), e por que o SciBERT reduziu a concordância com a categoria arXiv em vez de aumentá-la.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Redigir a discussão final, consolidar as referências e preparar o relatório e a apresentação completos.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6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F4E7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8d799aee9ce01e1094ee2f3099eb65b3967c6a9.png"/><Relationship Id="rId8" Type="http://schemas.openxmlformats.org/officeDocument/2006/relationships/image" Target="media/678f03f73013bca2aa2a54595ba4f10b2514bff7.png"/><Relationship Id="rId9" Type="http://schemas.openxmlformats.org/officeDocument/2006/relationships/image" Target="media/4bf64c9253f4b7b04e533a360ebf47f199da6dc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2026-07-05T01:21:55.475Z</dcterms:created>
  <dcterms:modified xsi:type="dcterms:W3CDTF">2026-07-05T01:21:55.476Z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