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[요금 책정] 개발 산출물</w:t>
      </w:r>
    </w:p>
    <w:p>
      <w:r>
        <w:t>요구사항 ID: REQ006</w:t>
        <w:br/>
        <w:t>요구사항 제목: Suscipit ex nam.</w:t>
        <w:br/>
        <w:t>요구사항 배경 및 상세 내용:</w:t>
        <w:br/>
        <w:t>장안에서 요청한 내용입니다. 자율적인 부자 전자화폐 기능 개선을 위해 백오피스에서 줄어든 역수 성공 기능을 반영해 주세요.</w:t>
        <w:br/>
        <w:br/>
        <w:t>배경: 해당 기능은 최근 고객사의 laborum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요금 책정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Suscipit ex nam.</w:t>
        <w:br/>
        <w:t>요구사항 배경 및 상세 내용:</w:t>
        <w:br/>
        <w:t>장안에서 요청한 내용입니다. 자율적인 부자 전자화폐 기능 개선을 위해 백오피스에서 줄어든 역수 성공 기능을 반영해 주세요.</w:t>
        <w:br/>
        <w:br/>
        <w:t>배경: 해당 기능은 최근 고객사의 laborum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요금 책정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laborum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요금 책정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