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[운영] 개발 산출물</w:t>
      </w:r>
    </w:p>
    <w:p>
      <w:r>
        <w:t>요구사항 ID: REQ011</w:t>
        <w:br/>
        <w:t>요구사항 제목: Consequuntur ipsa sit distinctio minus.</w:t>
        <w:br/>
        <w:t>요구사항 배경 및 상세 내용:</w:t>
        <w:br/>
        <w:t>김박박에서 요청한 내용입니다. 화폐화된 24/365 경험 기능 개선을 위해 결제 로직에서 비즈니스 중점적 최대화 구조체 기능을 반영해 주세요.</w:t>
        <w:br/>
        <w:br/>
        <w:t>배경: 해당 기능은 최근 고객사의 amet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운영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Consequuntur ipsa sit distinctio minus.</w:t>
        <w:br/>
        <w:t>요구사항 배경 및 상세 내용:</w:t>
        <w:br/>
        <w:t>김박박에서 요청한 내용입니다. 화폐화된 24/365 경험 기능 개선을 위해 결제 로직에서 비즈니스 중점적 최대화 구조체 기능을 반영해 주세요.</w:t>
        <w:br/>
        <w:br/>
        <w:t>배경: 해당 기능은 최근 고객사의 amet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운영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amet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운영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