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[수납] 개발 산출물</w:t>
      </w:r>
    </w:p>
    <w:p>
      <w:r>
        <w:t>요구사항 ID: REQ015</w:t>
        <w:br/>
        <w:t>요구사항 제목: Ad in.</w:t>
        <w:br/>
        <w:t>요구사항 배경 및 상세 내용:</w:t>
        <w:br/>
        <w:t>나임에서 요청한 내용입니다. 혁명적인 철벽 파트너쉽 기능 개선을 위해 프론트 화면에서 다용도 중립형 구조체 기능을 반영해 주세요.</w:t>
        <w:br/>
        <w:br/>
        <w:t>배경: 해당 기능은 최근 고객사의 quod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수납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Ad in.</w:t>
        <w:br/>
        <w:t>요구사항 배경 및 상세 내용:</w:t>
        <w:br/>
        <w:t>나임에서 요청한 내용입니다. 혁명적인 철벽 파트너쉽 기능 개선을 위해 프론트 화면에서 다용도 중립형 구조체 기능을 반영해 주세요.</w:t>
        <w:br/>
        <w:br/>
        <w:t>배경: 해당 기능은 최근 고객사의 quod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수납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quod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수납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