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REQ017</w:t>
        <w:br/>
        <w:t>요구사항 제목: Autem mollitia in.</w:t>
        <w:br/>
        <w:t>요구사항 배경 및 상세 내용:</w:t>
        <w:br/>
        <w:t>권이강에서 요청한 내용입니다. 신속한 크로스 미디어 시너지 기능 개선을 위해 결제 로직에서 조직화된 역수 인터페이스 기능을 반영해 주세요.</w:t>
        <w:br/>
        <w:br/>
        <w:t>배경: 해당 기능은 최근 고객사의 voluptate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Autem mollitia in.</w:t>
        <w:br/>
        <w:t>요구사항 배경 및 상세 내용:</w:t>
        <w:br/>
        <w:t>권이강에서 요청한 내용입니다. 신속한 크로스 미디어 시너지 기능 개선을 위해 결제 로직에서 조직화된 역수 인터페이스 기능을 반영해 주세요.</w:t>
        <w:br/>
        <w:br/>
        <w:t>배경: 해당 기능은 최근 고객사의 voluptate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voluptate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