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[모니터링] 개발 산출물</w:t>
      </w:r>
    </w:p>
    <w:p>
      <w:r>
        <w:t>요구사항 ID: REQ027</w:t>
        <w:br/>
        <w:t>요구사항 제목: Recusandae voluptates ratione.</w:t>
        <w:br/>
        <w:t>요구사항 배경 및 상세 내용:</w:t>
        <w:br/>
        <w:t>장김김에서 요청한 내용입니다. 제작된 무결점 플랫폼 기능 개선을 위해 결제 로직에서 특별한 멀티 태스킹 도전 기능을 반영해 주세요.</w:t>
        <w:br/>
        <w:br/>
        <w:t>배경: 해당 기능은 최근 고객사의 quo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모니터링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Recusandae voluptates ratione.</w:t>
        <w:br/>
        <w:t>요구사항 배경 및 상세 내용:</w:t>
        <w:br/>
        <w:t>장김김에서 요청한 내용입니다. 제작된 무결점 플랫폼 기능 개선을 위해 결제 로직에서 특별한 멀티 태스킹 도전 기능을 반영해 주세요.</w:t>
        <w:br/>
        <w:br/>
        <w:t>배경: 해당 기능은 최근 고객사의 quo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모니터링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quo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모니터링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