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jc w:val="center"/>
      </w:pPr>
      <w:r>
        <w:rPr>
          <w:rFonts w:ascii="Times New Roman" w:hAnsi="Times New Roman"/>
          <w:b/>
          <w:color w:val="000000"/>
          <w:sz w:val="34"/>
        </w:rPr>
        <w:t>ChAT—A Browser-Based Toolkit for</w:t>
        <w:br/>
        <w:t>LLM-Assisted Coding of Communication Data</w:t>
      </w:r>
    </w:p>
    <w:p>
      <w:pPr>
        <w:keepNext/>
        <w:spacing w:after="240"/>
        <w:jc w:val="center"/>
      </w:pPr>
      <w:r>
        <w:rPr>
          <w:rFonts w:ascii="Times New Roman" w:hAnsi="Times New Roman"/>
          <w:i/>
          <w:color w:val="505050"/>
          <w:sz w:val="20"/>
        </w:rPr>
        <w:t>Manuscript draft</w:t>
      </w:r>
    </w:p>
    <w:p>
      <w:pPr>
        <w:spacing w:after="100"/>
        <w:ind w:firstLine="0" w:left="360" w:right="360"/>
      </w:pPr>
      <w:r>
        <w:rPr>
          <w:b w:val="0"/>
        </w:rPr>
        <w:t xml:space="preserve">Abstract. Social scientists commonly transform free-form communication into structured variables by asking research assistants to read messages and apply a coding manual. Large language models can reduce the marginal cost of this work, but the surrounding workflow remains demanding: researchers must restructure their data, decide what constitutes a communication episode, define variables and permitted values, configure model providers, validate outputs, handle errors, and document the procedure. ChAT (Chat Annotation Toolkit) brings these tasks into a browser-based research tool. It supports flexible episode construction, structured coding manuals, several commercial LLM providers, repeated runs and </w:t>
      </w:r>
      <w:r>
        <w:rPr>
          <w:b/>
        </w:rPr>
        <w:t>variable-specific aggregation</w:t>
      </w:r>
      <w:r>
        <w:rPr>
          <w:b w:val="0"/>
        </w:rPr>
        <w:t>, live monitoring, selective reruns, and portable exports. This article explains how ChAT is used, describes its principal features and technical architecture, and discusses the limits of LLM-assisted coding. ChAT does not make model classifications authoritative; it makes the choices that produce them easier to specify, inspect, validate, and reproduce.</w:t>
      </w:r>
    </w:p>
    <w:p>
      <w:pPr>
        <w:spacing w:after="200"/>
        <w:ind w:firstLine="0" w:left="360" w:right="360"/>
      </w:pPr>
      <w:r>
        <w:rPr>
          <w:rFonts w:ascii="Times New Roman" w:hAnsi="Times New Roman"/>
          <w:b/>
          <w:color w:val="000000"/>
          <w:sz w:val="20"/>
        </w:rPr>
        <w:t xml:space="preserve">Keywords: </w:t>
      </w:r>
      <w:r>
        <w:rPr>
          <w:rFonts w:ascii="Times New Roman" w:hAnsi="Times New Roman"/>
          <w:color w:val="000000"/>
          <w:sz w:val="20"/>
        </w:rPr>
        <w:t>large language models; communication; content analysis; text coding; research software; reproducibility</w:t>
      </w:r>
    </w:p>
    <w:p>
      <w:pPr>
        <w:pStyle w:val="Heading1"/>
      </w:pPr>
      <w:r>
        <w:t>1. Motivation</w:t>
      </w:r>
    </w:p>
    <w:p>
      <w:pPr/>
      <w:r>
        <w:t>Free-form communication is an important source of evidence in many areas of the social sciences. Messages exchanged during an experiment can reveal promises, threats, explanations, beliefs, proposed strategies, attempts at persuasion, and the reasoning behind an observed choice. These features are often central to the mechanism under study, but they are difficult to analyze in their original textual form. A conventional solution is to recruit research assistants, train them on a coding manual, and ask them to classify each message or conversation. The resulting variables can then be used in the same way as other experimental measures. This procedure is familiar and, when carefully implemented, defensible. It is also extremely time-consuming. Drafting the manual, training coders, double-coding a subset, resolving disagreements, and processing a large corpus may require weeks or months of work. The direct cost of research assistance can determine whether a promising analysis is undertaken at all.</w:t>
      </w:r>
    </w:p>
    <w:p>
      <w:pPr/>
      <w:r>
        <w:t>Recent work suggests that large language models (LLMs) can perform some of this classification work reliably and cheaply. Gilardi, Alizadeh, and Kubli (2023), for example, report that zero-shot ChatGPT classifications outperformed crowd workers on several text-annotation tasks. Pangakis, Wolken, and Fasching (2023) reproduce a much broader set of social-science annotation tasks and find performance that is promising but strongly dependent on the dataset and the concept being coded. Evidence from experimental economics leads to a similarly qualified conclusion. Parra and Aristizabal (2026) apply GPT, Claude, and Gemini to data from three published experiments. The models achieve high agreement with human coding and reproduce the original qualitative result when the task concerns explicit commitment language. Performance is weaker when the coding scheme depends on inductively derived themes or pragmatic interpretation of a multi-party chat. Taken together, this evidence makes LLM-assisted coding credible enough to be useful, but not uniform enough to dispense with validation.</w:t>
      </w:r>
    </w:p>
    <w:p>
      <w:pPr/>
      <w:r>
        <w:t>The speed of a model call can obscure the amount of work required before and after it. A usable pipeline begins with the source data. Researchers must identify the relevant text, standardize missing entries, decide which contextual fields to retain, and determine the unit of analysis. They must then translate theoretical constructs into instructions that a model can follow, define the permitted outputs, provide examples or boundary cases, and decide how ambiguous observations should be handled. The technical work includes selecting providers and models, managing credentials, constructing requests, parsing responses, enforcing output formats, retrying failed calls, and combining repeated classifications. Finally, the research team must inspect the results, compare at least a subset with human judgments, and document the model, prompt, settings, and data transformations. A short notebook can automate part of this process, but developing and checking that notebook represents a substantial fixed cost.</w:t>
      </w:r>
    </w:p>
    <w:p>
      <w:pPr/>
      <w:r>
        <w:t>This fixed cost is especially apparent when studies use different communication institutions. Some experiments permit only one message from one sender. Others allow a sequence of messages from the same participant, an exchange among several participants, separate private and public channels, or repeated conversations across rounds. These design choices change what the model should code. The relevant unit may be one message, all messages written by a particular sender, the complete exchange among several senders, or a collection of exchanges that took place through different channels. A promise may be identifiable in a single sentence, whereas reciprocity, escalation, or consensus may only be visible across a sequence. If the pipeline treats every source row as an independent observation, it may discard the context needed to interpret the communication. If it assumes one fixed grouping rule, it will not travel well from one experimental design to another.</w:t>
      </w:r>
    </w:p>
    <w:p>
      <w:pPr/>
      <w:r>
        <w:rPr>
          <w:b w:val="0"/>
        </w:rPr>
        <w:t xml:space="preserve">ChAT was developed to lower these practical barriers. The tool offers a structured way to use LLMs to code communication content without requiring the researcher to build a new pipeline for every study. It provides a template for turning theoretical categories into a coding manual; accommodates message-, sender-, episode-, and broader grouped analyses through flexible episode construction and coding scope; allows several commercial LLMs to be used in the same run; and can aggregate repeated outputs while retaining the individual responses. Just as importantly, it keeps the main analytical choices visible. The unit of analysis, codebook, model identifiers, settings, repetitions, and </w:t>
      </w:r>
      <w:r>
        <w:rPr>
          <w:b/>
        </w:rPr>
        <w:t>aggregation method for each variable</w:t>
      </w:r>
      <w:r>
        <w:rPr>
          <w:b w:val="0"/>
        </w:rPr>
        <w:t xml:space="preserve"> are specified explicitly and can be exported. ChAT is therefore best understood as research infrastructure, rather than as a claim that any particular LLM is a valid coder in every setting.</w:t>
      </w:r>
    </w:p>
    <w:p>
      <w:pPr/>
      <w:r>
        <w:t>This emphasis follows the logic of research platforms such as oTree. Chen, Schonger, and Wickens (2016) did not present oTree as a new experimental method; they presented software that made an established method easier to implement across a wider range of settings. ChAT has a parallel, narrower objective. LLMs have made automated coding technically feasible. ChAT turns that capability into an accessible and inspectable workflow for researchers working with communication data.</w:t>
      </w:r>
    </w:p>
    <w:p>
      <w:pPr>
        <w:pStyle w:val="Heading1"/>
      </w:pPr>
      <w:r>
        <w:t>2. Using ChAT</w:t>
      </w:r>
    </w:p>
    <w:p>
      <w:pPr>
        <w:keepNext w:val="0"/>
        <w:keepLines w:val="0"/>
      </w:pPr>
      <w:r>
        <w:rPr>
          <w:b w:val="0"/>
        </w:rPr>
        <w:t xml:space="preserve">Researchers use ChAT through its browser-based interface to configure an LLM-assisted coding project. Before beginning, they need three inputs: (1) the experimental instructions, (2) the communication dataset, and (3) the coding categories and labels. Within the interface, these inputs are used to construct communication episodes, define the coding manual, provide experimental context, and configure the models. </w:t>
      </w:r>
      <w:r>
        <w:rPr>
          <w:b/>
        </w:rPr>
        <w:t>Once the task has been configured, the researcher can either run the coding in the browser or download a local-execution package containing the generated Python script, the exact preprocessed dataset it is configured to read, a README file, and a requirements file.</w:t>
      </w:r>
      <w:r>
        <w:rPr>
          <w:b w:val="0"/>
        </w:rPr>
        <w:t xml:space="preserve"> The following subsections describe the information required at each stage.</w:t>
      </w:r>
    </w:p>
    <w:p>
      <w:pPr>
        <w:pStyle w:val="Heading2"/>
      </w:pPr>
      <w:r>
        <w:t>2.1 Uploading and mapping the dataset</w:t>
      </w:r>
    </w:p>
    <w:p>
      <w:pPr>
        <w:keepNext w:val="0"/>
        <w:keepLines w:val="0"/>
      </w:pPr>
      <w:r>
        <w:t>The researcher uploads the communication dataset as a CSV or Excel file. Each row typically contains a message and may also contain identifiers, sender information, message order, or context. Immediately after the upload succeeds, ChAT opens the Map Columns window and asks the researcher to assign the relevant columns.</w:t>
      </w:r>
    </w:p>
    <w:p>
      <w:pPr>
        <w:keepNext w:val="0"/>
        <w:keepLines w:val="0"/>
      </w:pPr>
      <w:r>
        <w:t>Message is required and identifies the text to be coded. Episode identifier is also required and determines which messages constitute one communication episode. The researcher can group rows by tagging one or more shared identifier columns, such as Session and Round, or select Each row is its own episode when no grouping is needed. Sender is optional and identifies who wrote each message; it is needed for variables coded separately for each sender. Order is optional and identifies a timestamp or turn-number column so that messages can be arranged in ascending or descending sequence. Context is optional and identifies additional columns the model should know about, such as communication channel or treatment condition. For each context column, the researcher can explain what the column and its values mean.</w:t>
      </w:r>
    </w:p>
    <w:p>
      <w:pPr>
        <w:keepNext w:val="0"/>
        <w:keepLines w:val="0"/>
      </w:pPr>
      <w:r>
        <w:t>With a mapping role selected, the researcher clicks a column to tag it and clicks again to remove the tag. After Message and the episode rule have been defined, selecting Save &amp; Proceed groups rows that share the chosen identifiers and displays the resulting preprocessed episodes. When grouping is used, messages are combined in the specified order and tagged by sender when a Sender column has been mapped. The researcher can download the preprocessed dataset as a CSV file. These choices are important because they determine the unit that will be coded and the message, sender, sequence, and contextual information supplied to the model.</w:t>
      </w:r>
    </w:p>
    <w:p>
      <w:pPr>
        <w:pStyle w:val="Heading2"/>
      </w:pPr>
      <w:r>
        <w:t>2.2 Developing the codebook</w:t>
      </w:r>
    </w:p>
    <w:p>
      <w:pPr>
        <w:keepNext w:val="0"/>
        <w:keepLines w:val="0"/>
      </w:pPr>
      <w:r>
        <w:t>The researcher first chooses how ChAT should handle rows with no message text. Ignore skips these rows and excludes them from the output, whereas Code as value retains them and asks the model to apply the codebook definitions. The codebook summary then lists the project’s variables and opens the full editor.</w:t>
      </w:r>
    </w:p>
    <w:p>
      <w:pPr>
        <w:keepNext w:val="0"/>
        <w:keepLines w:val="0"/>
      </w:pPr>
      <w:r>
        <w:t>Each variable appears as a card. The researcher supplies a label, chooses whether the variable is coded once per episode or separately for each sender, and writes a category definition. Sender-level variables require participant names that correspond to the values in the mapped Sender column. The category definition states what the variable measures.</w:t>
      </w:r>
    </w:p>
    <w:p>
      <w:pPr>
        <w:keepNext w:val="0"/>
        <w:keepLines w:val="0"/>
      </w:pPr>
      <w:r>
        <w:rPr>
          <w:b w:val="0"/>
        </w:rPr>
        <w:t xml:space="preserve">The researcher then selects the variable type. Binary uses the fixed values 0 and 1; Categorical uses a set of values named by the researcher; Numeric returns a number; and Text returns free-form text. For every Binary or Categorical value, the researcher supplies a definition and may add examples or additional context. Numeric and Text variables do not have a fixed value list, so their category definitions must explain the expected output. </w:t>
      </w:r>
      <w:r>
        <w:rPr>
          <w:b/>
        </w:rPr>
        <w:t>For each variable, the researcher also selects how outputs from repeated model calls will be aggregated: majority vote (mode) or average (mean). ChAT defaults to mode for Binary, Categorical, and Text variables and to mean for Numeric variables, while allowing the researcher to change the method for each variable.</w:t>
      </w:r>
      <w:r>
        <w:rPr>
          <w:b/>
        </w:rPr>
        <w:t xml:space="preserve"> These definitions and settings form the coding guidance supplied to the model and the rules used to summarize repeated outputs. </w:t>
      </w:r>
      <w:r>
        <w:rPr>
          <w:b w:val="0"/>
        </w:rPr>
        <w:t>The completed codebook can also be exported in several common formats for review, reuse, or inclusion in project documentation.</w:t>
      </w:r>
    </w:p>
    <w:p>
      <w:pPr>
        <w:pStyle w:val="Heading2"/>
      </w:pPr>
      <w:r>
        <w:t>2.3 Providing the experimental instructions</w:t>
      </w:r>
    </w:p>
    <w:p>
      <w:pPr>
        <w:keepNext w:val="0"/>
        <w:keepLines w:val="0"/>
      </w:pPr>
      <w:r>
        <w:t>The researcher provides the instructions that participants received, including the tasks, roles, payoffs, and communication rules relevant to the study. ChAT supplies this material to the coding model as background for every episode; the instructions are not themselves treated as messages to be coded. This context is important because the meaning of a message may depend on the actions available to participants, the information they possessed, or the rules governing communication.</w:t>
      </w:r>
    </w:p>
    <w:p>
      <w:pPr>
        <w:keepNext w:val="0"/>
        <w:keepLines w:val="0"/>
      </w:pPr>
      <w:r>
        <w:t>The instructions can be pasted directly into the text field or imported from a PDF. For PDF import, the researcher selects a supported PDF-capable provider and model, enters the corresponding API key, and asks the model to convert the document into text. The conversion prompt instructs the model to preserve the document’s wording and order, transcribe tables, and insert descriptions of figures, charts, and other images inline. ChAT displays the converted text for review and editing before the researcher uses it as the experimental context. The provider and model used for PDF conversion do not have to be the same as those used for the subsequent coding run.</w:t>
      </w:r>
    </w:p>
    <w:p>
      <w:pPr>
        <w:pStyle w:val="Heading2"/>
      </w:pPr>
      <w:r>
        <w:rPr>
          <w:b/>
        </w:rPr>
        <w:t>2.4 Selecting models and runs</w:t>
      </w:r>
    </w:p>
    <w:p>
      <w:pPr>
        <w:keepNext w:val="0"/>
        <w:keepLines w:val="0"/>
      </w:pPr>
      <w:r>
        <w:t>The researcher configures one or more models by selecting a provider and model and entering the corresponding API key for each. Each configured model runs independently. Model-specific controls allow the researcher to set temperature, top-p, and the maximum number of output tokens where the selected model supports those parameters.</w:t>
      </w:r>
    </w:p>
    <w:p>
      <w:pPr>
        <w:keepNext w:val="0"/>
        <w:keepLines w:val="0"/>
      </w:pPr>
      <w:r>
        <w:rPr>
          <w:b w:val="0"/>
        </w:rPr>
        <w:t xml:space="preserve">The researcher chooses the number of runs made by each configured model for every episode. </w:t>
      </w:r>
      <w:r>
        <w:rPr>
          <w:b/>
        </w:rPr>
        <w:t>Aggregation is not selected globally in this section. Instead, ChAT combines the resulting calls according to the method assigned to each variable in the codebook, allowing label variables to use majority vote and numeric variables to use an average within the same coding task.</w:t>
      </w:r>
      <w:r>
        <w:rPr>
          <w:b w:val="0"/>
        </w:rPr>
        <w:t xml:space="preserve"> ChAT retains the individual model–run responses in addition to the aggregate. Together, the model configurations, run count, and variable-level aggregation settings determine which models perform the coding, how many times each episode is submitted, and how variation across calls is summarized.</w:t>
      </w:r>
    </w:p>
    <w:p>
      <w:pPr>
        <w:pStyle w:val="Heading2"/>
      </w:pPr>
      <w:r>
        <w:rPr>
          <w:b/>
        </w:rPr>
        <w:t>2.5 Generating the local package or running the coding</w:t>
      </w:r>
    </w:p>
    <w:p>
      <w:pPr>
        <w:keepNext w:val="0"/>
        <w:keepLines w:val="0"/>
      </w:pPr>
      <w:r>
        <w:t>Once the task has been configured, the researcher chooses how to execute it. Run Coding first validates the selected API keys and models and then performs the coding in the browser. Progress and results are displayed as episodes are processed. After completion, ChAT checks the returned values against the codebook and identifies failed or out-of-range observations. The researcher can inspect the validation report and rerun only the affected observations. The coded results and a summary of the run can then be downloaded; when several models or runs are used, the download retains the aggregate and the underlying model–run results.</w:t>
      </w:r>
    </w:p>
    <w:p>
      <w:pPr>
        <w:keepNext w:val="0"/>
        <w:keepLines w:val="0"/>
      </w:pPr>
      <w:r>
        <w:rPr>
          <w:b w:val="0"/>
        </w:rPr>
        <w:t xml:space="preserve">Alternatively, </w:t>
      </w:r>
      <w:r>
        <w:rPr>
          <w:b/>
        </w:rPr>
        <w:t>Generate package creates a ZIP archive containing a ready-to-run Python script, the exact preprocessed CSV dataset used as its default input, a README file with execution instructions, and a requirements file listing the necessary Python dependencies. The dataset filename embedded in the script matches the CSV included in the archive, so the package can be extracted and run after its dependencies are installed without separately preparing or identifying an input file. The current packaged script uses the first configured model and does not reproduce the multiple-model execution available through Run Coding.</w:t>
      </w:r>
      <w:r>
        <w:rPr>
          <w:b w:val="0"/>
        </w:rPr>
        <w:t xml:space="preserve"> Experienced users can run the script locally, inspect or modify it, add project-specific transformations, change its execution logic, or integrate it into another research pipeline. The source code for the ChAT application, which generates these project-specific scripts, is separately available for inspection at https://github.com/jeongk31/ssel_llm_tool. The public application is available at https://ssel.chatkit.nyuad.nyu.edu/.</w:t>
      </w:r>
    </w:p>
    <w:p>
      <w:pPr>
        <w:pStyle w:val="Heading1"/>
      </w:pPr>
      <w:r>
        <w:t>3. Core Features</w:t>
      </w:r>
    </w:p>
    <w:p>
      <w:pPr>
        <w:pStyle w:val="Heading2"/>
      </w:pPr>
      <w:r>
        <w:t>3.1 Data import and episode construction</w:t>
      </w:r>
    </w:p>
    <w:p>
      <w:pPr/>
      <w:r>
        <w:t>ChAT accepts CSV and Excel files and immediately presents a preview of the uploaded structure. This preview serves two purposes. It lets the researcher confirm that delimiters, headers, encodings, and missing values have been interpreted as expected, and it anchors the column-mapping step in the actual data rather than in a separate configuration file. Message text, identifiers, sender, sequence, and context fields are assigned through the interface. The source file does not need to be renamed or rewritten to match a rigid schema.</w:t>
      </w:r>
    </w:p>
    <w:p>
      <w:pPr/>
      <w:r>
        <w:t>Rows that share the selected identifiers are grouped into episodes and ordered using the chosen sequence field. When sender information is available, speaker labels are preserved in the model context. Context fields can carry information that is constant within an episode or attach relevant attributes to the messages being coded. The resulting representation resembles a readable transcript while retaining the identifiers needed to merge the output back into the original dataset.</w:t>
      </w:r>
    </w:p>
    <w:p>
      <w:pPr/>
      <w:r>
        <w:t>The grouping operation is not merely a convenience for file handling. It is a substantive part of the measurement procedure. Consider a repeated coordination game in which two subjects exchange several messages before choosing actions. Coding each message separately may be appropriate for the appearance of a specific phrase. Coding the ordered exchange may be necessary to identify agreement or strategic concession. Coding each sender’s contribution may be appropriate for individual communication style. ChAT supports these alternatives by allowing the researcher to alter the construction of the episode and the scope of the variable. When no grouping is required, row-level coding remains available.</w:t>
      </w:r>
    </w:p>
    <w:p>
      <w:pPr>
        <w:pStyle w:val="Heading2"/>
      </w:pPr>
      <w:r>
        <w:t>3.2 Structured codebooks and category generation</w:t>
      </w:r>
    </w:p>
    <w:p>
      <w:pPr/>
      <w:r>
        <w:t>The codebook editor supports binary, categorical, numeric, and free-text variables. A binary variable might indicate whether an episode contains a promise. A categorical variable might classify the main argument used in a bargaining message. A numeric variable might measure the stated confidence of a sender on a bounded scale. A free-text field can capture a short explanation when a fixed label is not appropriate. The interface keeps the variable label, construct definition, allowed values, and value-specific descriptions together, rather than burying them in an unstructured prompt.</w:t>
      </w:r>
    </w:p>
    <w:p>
      <w:pPr/>
      <w:r>
        <w:t>Researchers can supplement these definitions with examples and additional context. The distinction between a construct definition and a value definition is useful. The former states what is being measured; the latter states how observations are assigned to the permitted labels. A coding manual for sentiment, for example, should explain what aspect of the communication is being evaluated and separately describe what qualifies as positive, neutral, or negative. This structure makes the manual easier to review and reduces the chance that two variables rely on inconsistent instructions.</w:t>
      </w:r>
    </w:p>
    <w:p>
      <w:pPr/>
      <w:r>
        <w:rPr>
          <w:b w:val="0"/>
        </w:rPr>
        <w:t xml:space="preserve">Each variable also records its coding scope, including episode- and sender-level coding, </w:t>
      </w:r>
      <w:r>
        <w:rPr>
          <w:b/>
        </w:rPr>
        <w:t>and its aggregation method for repeated outputs</w:t>
      </w:r>
      <w:r>
        <w:rPr>
          <w:b w:val="0"/>
        </w:rPr>
        <w:t>. The completed codebook can be exported for use in another project or outside ChAT. The tool may also ask a selected model to propose candidate categories from instructions and sample episodes. This function is intended for exploration and drafting. Suggested categories remain subject to researcher review, revision, and theoretical justification; category generation does not replace the substantive work of deciding what should be measured.</w:t>
      </w:r>
    </w:p>
    <w:p>
      <w:pPr>
        <w:pStyle w:val="Heading2"/>
      </w:pPr>
      <w:r>
        <w:t>3.3 Model configuration and repeated runs</w:t>
      </w:r>
    </w:p>
    <w:p>
      <w:pPr/>
      <w:r>
        <w:t>ChAT provides one interface for the commercial LLM providers supported in the public application: OpenAI, Google Gemini, and DeepSeek. A researcher can assign more than one provider–model pair to a job and supply a separate key for each. This common interface avoids rewriting provider-specific request code whenever a project compares models or moves to a different service. It also keeps the model choices beside the other parts of the coding design, where they can be reviewed by collaborators.</w:t>
      </w:r>
    </w:p>
    <w:p>
      <w:pPr/>
      <w:r>
        <w:t>The researcher may repeat each model call for every observation. Repeated calls are useful because LLM responses can vary even when the input is unchanged. The number of repetitions is a research and budget choice: more calls reveal more of the model’s stochastic variation but increase processing time and API cost. ChAT preserves the result of each model–run combination, making it possible to distinguish a unanimous classification from an aggregate that conceals disagreement.</w:t>
      </w:r>
    </w:p>
    <w:p>
      <w:pPr/>
      <w:r>
        <w:rPr>
          <w:b w:val="0"/>
        </w:rPr>
        <w:t xml:space="preserve">Repeated categorical and binary outputs can be aggregated by the mode, whereas numeric outputs can be aggregated by the mean when that operation is substantively meaningful. </w:t>
      </w:r>
      <w:r>
        <w:rPr>
          <w:b/>
        </w:rPr>
        <w:t>Because this choice is stored separately for every codebook variable, one coding task can apply different aggregation methods to different outputs.</w:t>
      </w:r>
      <w:r>
        <w:rPr>
          <w:b w:val="0"/>
        </w:rPr>
        <w:t xml:space="preserve"> Researchers can also configure model-level controls such as temperature, top-p, and token limits where the provider supports them. These controls are not presented as universal recipes. A low temperature may reduce response variation, but it does not establish validity; a majority vote may stabilize a label, but it does not turn repeated calls to one system into independent human coders. Retaining both the aggregate and its constituent results is therefore essential.</w:t>
      </w:r>
    </w:p>
    <w:p>
      <w:pPr>
        <w:pStyle w:val="Heading2"/>
      </w:pPr>
      <w:r>
        <w:t>3.4 Monitoring, validation, and selective reruns</w:t>
      </w:r>
    </w:p>
    <w:p>
      <w:pPr/>
      <w:r>
        <w:t>Before sending the complete dataset, ChAT validates the supplied credentials and model configurations. This step catches common problems such as an invalid key, an unavailable model, or a provider mismatch before the researcher incurs a long sequence of failed calls. Validation does not guarantee that every subsequent request will succeed, but it separates basic configuration problems from observation-specific failures.</w:t>
      </w:r>
    </w:p>
    <w:p>
      <w:pPr/>
      <w:r>
        <w:t>Run progress is shown at the episode level. Results appear while coding is underway, allowing the researcher to see which observations have completed and what the model returned. The backend checks whether a response can be parsed and whether returned values conform to the codebook. API failures, malformed responses, invalid labels, ties, and other abnormal outcomes are flagged for attention. This visibility is particularly important in long jobs: an apparently active process should not be allowed to produce hundreds of unusable rows before anyone notices a systematic error.</w:t>
      </w:r>
    </w:p>
    <w:p>
      <w:pPr/>
      <w:r>
        <w:t>After the run, flagged or substantively questionable observations can be selected and rerun without repeating the entire dataset. Selective reruns reduce unnecessary cost and avoid replacing valid outputs when only a small subset failed. They also preserve a clearer record of intervention. A researcher can identify which rows were rerun and why, rather than silently restarting the complete analysis and retaining whichever output happened to appear last.</w:t>
      </w:r>
    </w:p>
    <w:p>
      <w:pPr>
        <w:pStyle w:val="Heading2"/>
      </w:pPr>
      <w:r>
        <w:t>3.5 Export</w:t>
      </w:r>
    </w:p>
    <w:p>
      <w:pPr/>
      <w:r>
        <w:t>ChAT exports the coded data and run summaries in familiar formats that can be opened in statistical software or a spreadsheet. Exported results retain the identifiers needed to connect classifications to the original observations. Where multiple models or repetitions were used, the underlying run-level results can be retained alongside the aggregate. Error and validation information can likewise remain available for audit instead of being reduced to an undocumented list of missing values.</w:t>
      </w:r>
    </w:p>
    <w:p>
      <w:pPr/>
      <w:r>
        <w:rPr>
          <w:b w:val="0"/>
        </w:rPr>
        <w:t xml:space="preserve">The codebook can be exported and reused elsewhere. This is useful when collaborators need to review the coding manual, when the same categories are applied to a new treatment or study, or when a research team wants to compare alternative versions of a definition. </w:t>
      </w:r>
      <w:r>
        <w:rPr>
          <w:b/>
        </w:rPr>
        <w:t>ChAT also exports a local-execution package as a ZIP archive. The archive contains the generated Python script, the exact preprocessed CSV input, a README file, and a requirements file. The script is configured to open the included dataset by default, preventing a mismatch between the generated code and the data prepared in the interface.</w:t>
      </w:r>
      <w:r>
        <w:rPr>
          <w:b w:val="0"/>
        </w:rPr>
        <w:t xml:space="preserve"> Experienced users can inspect and modify the script, add project-specific transformations, run it on different infrastructure, or archive the complete package with replication materials.</w:t>
      </w:r>
    </w:p>
    <w:p>
      <w:pPr/>
      <w:r>
        <w:t>A coder-comparison function can align files containing human and model labels and calculate familiar agreement measures, including percent agreement, Cohen’s kappa, and Gwet’s AC1. These statistics do not decide whether a construct is valid, but they make task-specific comparison easier. Their presence in the workflow reinforces the principle that model performance should be demonstrated on relevant data rather than assumed from general benchmarks.</w:t>
      </w:r>
    </w:p>
    <w:p>
      <w:pPr>
        <w:pStyle w:val="Heading1"/>
      </w:pPr>
      <w:r>
        <w:t>4. Technology, Deployment, and Reproducibility</w:t>
      </w:r>
    </w:p>
    <w:p>
      <w:pPr>
        <w:pStyle w:val="Heading2"/>
      </w:pPr>
      <w:r>
        <w:t>4.1 Web architecture</w:t>
      </w:r>
    </w:p>
    <w:p>
      <w:pPr/>
      <w:r>
        <w:t>ChAT uses a client–server architecture. The client is a responsive interface built with Next.js and React. It handles file selection, column mapping, codebook editing, model configuration, progress displays, and review of results. The server is a FastAPI application responsible for data processing, construction of model requests, provider integration, response validation, exports, and administrative functions. Pandas supports the tabular transformations used to preview, group, order, and merge communication data.</w:t>
      </w:r>
    </w:p>
    <w:p>
      <w:pPr/>
      <w:r>
        <w:t>PostgreSQL stores limited application metadata and administrative records. The coding workflow is designed so that researchers can see what is retained and what is not. Configuration information needed for a session may be maintained in the browser, while provider API keys are entered for use and are not stored by the application. The selected communication content must nevertheless be sent to the external model provider chosen by the researcher. This distinction matters: ChAT’s own storage policy and the provider’s processing or retention policy are separate questions.</w:t>
      </w:r>
    </w:p>
    <w:p>
      <w:pPr/>
      <w:r>
        <w:t>Provider adapters translate the common ChAT configuration into calls to the relevant external APIs. Results and progress are streamed back to the browser through HTTPS. The division between the interface, the application server, and provider adapters makes the system easier to maintain. Changes to a provider do not require redesigning the data-mapping or codebook interface, while changes to the interface do not alter the substantive structure of a coding request.</w:t>
      </w:r>
    </w:p>
    <w:p>
      <w:pPr>
        <w:pStyle w:val="Heading2"/>
      </w:pPr>
      <w:r>
        <w:t>4.2 Deployment and access</w:t>
      </w:r>
    </w:p>
    <w:p>
      <w:pPr/>
      <w:r>
        <w:t>The production application is deployed on a university-hosted Red Hat Enterprise Linux server. Nginx serves as the public reverse proxy and routes browser traffic to separate frontend and backend services. Both application services are managed by systemd, which starts them with the server, restarts them when necessary, and provides a common location for operational logs. PostgreSQL runs as the database service, and HTTPS protects traffic between the user and the public endpoint.</w:t>
      </w:r>
    </w:p>
    <w:p>
      <w:pPr/>
      <w:r>
        <w:rPr>
          <w:b w:val="0"/>
        </w:rPr>
        <w:t xml:space="preserve">For ordinary use, a researcher needs only a modern browser and valid credentials for the selected LLM provider. There is no ChAT client to install, no local Python environment to configure, and no database to administer. This is the main accessibility advantage of the hosted interface. Researchers who need greater control retain the option to use </w:t>
      </w:r>
      <w:r>
        <w:rPr>
          <w:b/>
        </w:rPr>
        <w:t>the generated local-execution package</w:t>
      </w:r>
      <w:r>
        <w:rPr>
          <w:b w:val="0"/>
        </w:rPr>
        <w:t xml:space="preserve"> or source code rather than being locked into the hosted deployment.</w:t>
      </w:r>
    </w:p>
    <w:p>
      <w:pPr/>
      <w:r>
        <w:t>The codebase is version-controlled on GitHub. Automated checks run in continuous integration when changes are pushed. The university server periodically checks for a revision that has passed those checks, pulls the approved code, rebuilds the frontend when necessary, updates the backend environment, and restarts the services. This deployment arrangement avoids placing inbound deployment credentials in GitHub and works even when institutional network rules prevent a hosted automation service from opening an SSH connection to the server.</w:t>
      </w:r>
    </w:p>
    <w:p>
      <w:pPr>
        <w:pStyle w:val="Heading2"/>
      </w:pPr>
      <w:r>
        <w:t>4.3 Procedural reproducibility and portability</w:t>
      </w:r>
    </w:p>
    <w:p>
      <w:pPr/>
      <w:r>
        <w:rPr>
          <w:b w:val="0"/>
        </w:rPr>
        <w:t xml:space="preserve">Reproducibility in LLM-assisted coding has at least three components. The first is data construction: which source file was used, which fields contained the messages, how rows were grouped and ordered, and what context was supplied. The second is the coding specification: the experimental instructions, variable definitions, allowed values, examples, scope, and treatment of missing or abnormal observations. The third is model execution: provider, model identifier, settings, repetition count, </w:t>
      </w:r>
      <w:r>
        <w:rPr>
          <w:b/>
        </w:rPr>
        <w:t>variable-specific aggregation methods</w:t>
      </w:r>
      <w:r>
        <w:rPr>
          <w:b w:val="0"/>
        </w:rPr>
        <w:t>, time of execution, and any retries or errors. ChAT is designed to make these elements explicit and available for export.</w:t>
      </w:r>
    </w:p>
    <w:p>
      <w:pPr/>
      <w:r>
        <w:rPr>
          <w:b w:val="0"/>
        </w:rPr>
        <w:t xml:space="preserve">Preserving a final spreadsheet is not enough to reconstruct an LLM coding procedure. Two files with the same aggregate labels may have been produced from different episode definitions, prompts, or model runs. Conversely, the same saved configuration may produce somewhat different responses at a later date. The codebook, mapping choices, instructions, run-level responses, and error record should therefore be archived with the final coded data. </w:t>
      </w:r>
      <w:r>
        <w:rPr>
          <w:b/>
        </w:rPr>
        <w:t>The generated local-execution package additionally preserves the script, the exact preprocessed input it expects, and the dependency and execution instructions needed to run it outside ChAT.</w:t>
      </w:r>
    </w:p>
    <w:p>
      <w:pPr/>
      <w:r>
        <w:t>These practices improve procedural reproducibility, but they cannot guarantee exact numerical replication. Commercial providers may update a model behind an existing name, deprecate a version, or alter system-level behavior that is not controlled by the researcher. A dated record of the model identifier and settings is still valuable, as are the original per-run outputs, but researchers should distinguish a well-documented procedure from a permanently deterministic one. Portability is therefore as important as replay: ordinary data formats and generated code allow the workflow to be inspected and adapted even when the hosted tool or a particular provider changes.</w:t>
      </w:r>
    </w:p>
    <w:p>
      <w:pPr>
        <w:pStyle w:val="Heading2"/>
      </w:pPr>
      <w:r>
        <w:t>4.4 Compact demonstration</w:t>
      </w:r>
    </w:p>
    <w:p>
      <w:pPr/>
      <w:r>
        <w:t>A compact demonstration can follow one shareable communication dataset through the complete browser workflow. Suppose an experiment contains repeated two-person interactions in which participants can exchange several messages before choosing whether to cooperate. The source file contains group, round, sender, message order, and message text. The researcher uploads the experimental instructions, maps the group and round fields as episode identifiers, maps the sender and order fields, and inspects the resulting conversation transcripts.</w:t>
      </w:r>
    </w:p>
    <w:p>
      <w:pPr/>
      <w:r>
        <w:rPr>
          <w:b w:val="0"/>
        </w:rPr>
        <w:t xml:space="preserve">The researcher then creates a short coding manual. One binary variable records whether the exchange contains an explicit promise. A sender-level categorical variable records whether each participant advocates cooperation, defection, or no clear action. Definitions explain how conditional promises, quoted language, and vague expressions should be treated. The researcher </w:t>
      </w:r>
      <w:r>
        <w:rPr>
          <w:b/>
        </w:rPr>
        <w:t>assigns mode aggregation separately to both variables</w:t>
      </w:r>
      <w:r>
        <w:rPr>
          <w:b w:val="0"/>
        </w:rPr>
        <w:t>, selects two models, and requests two runs per model. Before execution, ChAT validates both credentials and presents the planned number of calls.</w:t>
      </w:r>
    </w:p>
    <w:p>
      <w:pPr/>
      <w:r>
        <w:rPr>
          <w:b w:val="0"/>
        </w:rPr>
        <w:t xml:space="preserve">As the job runs, the results screen shows completed episodes and the labels returned by each model–run combination. One episode may be flagged because a model returned an explanation instead of a permitted label; another may produce a tie. The researcher inspects those exchanges and reruns only the affected rows. The final export contains the original identifiers, the individual model outputs, aggregate codes, and validation information. </w:t>
      </w:r>
      <w:r>
        <w:rPr>
          <w:b/>
        </w:rPr>
        <w:t>For local execution or archival, the researcher can also download the ZIP package containing the generated script, its preprocessed input dataset, the README, and the requirements file.</w:t>
      </w:r>
      <w:r>
        <w:rPr>
          <w:b w:val="0"/>
        </w:rPr>
        <w:t xml:space="preserve"> Such a demonstration illustrates what the tool does and what records it produces. It is not a benchmark study, and it should not be presented as evidence that the selected models are accurate on communication data outside that task.</w:t>
      </w:r>
    </w:p>
    <w:p>
      <w:pPr>
        <w:pStyle w:val="Heading1"/>
      </w:pPr>
      <w:r>
        <w:t>5. Scope, Limitations, and Responsible Use</w:t>
      </w:r>
    </w:p>
    <w:p>
      <w:pPr/>
      <w:r>
        <w:t>ChAT structures the coding workflow; it does not establish construct validity. The tool can enforce a permitted set of labels and make a codebook easier to apply, but a precisely formatted answer may still measure the wrong idea. A category can be poorly defined, examples can bias interpretation, or the unit of analysis can omit relevant context. These are research-design problems rather than software errors. Human judgment remains necessary when constructs are selected, operational definitions are written, validation samples are created, disagreements are interpreted, and the resulting variables are used in an analysis.</w:t>
      </w:r>
    </w:p>
    <w:p>
      <w:pPr/>
      <w:r>
        <w:t>Model performance remains sensitive to the dataset, language, codebook, prompt, provider, model version, and type of communication. Explicit categories with clear textual markers are generally easier to code than concepts that depend on irony, shared background, strategic ambiguity, or the relationship among several messages. Findings from one variable should not be generalized automatically to another variable in the same dataset. Validation should occur at the level of the actual task and should report more than a favorable example. Researchers should describe the human benchmark, sampling procedure, agreement measure, and treatment of disagreements.</w:t>
      </w:r>
    </w:p>
    <w:p>
      <w:pPr/>
      <w:r>
        <w:t>Repeated runs and aggregation require careful interpretation. Repetition can reveal that a classification is unstable, and aggregation can reduce the influence of one unusual response. Neither operation creates independent human coders. Calls to the same model may share training data, architecture, provider-level instructions, and systematic errors. Even different commercial models are not necessarily independent sources of judgment. Their agreement is informative about the configured systems, not proof that a label is correct.</w:t>
      </w:r>
    </w:p>
    <w:p>
      <w:pPr/>
      <w:r>
        <w:t>Data protection is a separate and potentially binding limitation. Text submitted through ChAT is passed to the external LLM provider selected by the researcher. University hosting of the interface does not by itself make confidential, personally identifiable, export-controlled, or contractually restricted data appropriate for a commercial API. Researchers must consider participant consent, institutional review, data-use agreements, applicable law, and the provider’s current terms and retention settings. De-identification can reduce exposure but may also remove social information needed for valid coding, and it does not eliminate every re-identification risk.</w:t>
      </w:r>
    </w:p>
    <w:p>
      <w:pPr/>
      <w:r>
        <w:t>Finally, ChAT is designed around tabular communication data and a finite set of supported providers and output types. Very large files, unusually long episodes, multimedia communication, or institutional environments that prohibit external APIs may require a different deployment or a customized script. The open and portable parts of the workflow are intended to make such extensions possible, but the hosted interface should not be described as universal.</w:t>
      </w:r>
    </w:p>
    <w:p>
      <w:pPr>
        <w:pStyle w:val="Heading1"/>
      </w:pPr>
      <w:r>
        <w:t>6. Conclusion</w:t>
      </w:r>
    </w:p>
    <w:p>
      <w:pPr/>
      <w:r>
        <w:t>The marginal cost of asking an LLM to classify a message is low. The fixed cost of turning communication into a defensible research measure is not. Researchers still need to determine what constitutes an observation, supply the institutional context, define categories and labels, configure models, monitor failures, validate classifications, and preserve a record of the procedure. These tasks are repeated across projects even though the underlying communication institutions differ.</w:t>
      </w:r>
    </w:p>
    <w:p>
      <w:pPr/>
      <w:r>
        <w:rPr>
          <w:b w:val="0"/>
        </w:rPr>
        <w:t xml:space="preserve">ChAT brings those tasks into a single browser-based workflow. Its central feature is flexibility in the unit of analysis: messages can remain separate or be grouped and ordered into episodes, while variables can be defined for an episode or its senders. Structured codebooks make the coding rules visible. Multiple models, repeated runs, </w:t>
      </w:r>
      <w:r>
        <w:rPr>
          <w:b/>
        </w:rPr>
        <w:t>variable-specific aggregation</w:t>
      </w:r>
      <w:r>
        <w:rPr>
          <w:b w:val="0"/>
        </w:rPr>
        <w:t xml:space="preserve">, live monitoring, and selective reruns make model execution manageable. </w:t>
      </w:r>
      <w:r>
        <w:rPr>
          <w:b/>
        </w:rPr>
        <w:t>Exports and self-contained local-execution packages</w:t>
      </w:r>
      <w:r>
        <w:rPr>
          <w:b w:val="0"/>
        </w:rPr>
        <w:t xml:space="preserve"> make the procedure inspectable and portable beyond the graphical interface.</w:t>
      </w:r>
    </w:p>
    <w:p>
      <w:pPr/>
      <w:r>
        <w:t>The tool is intended to lower the technical and organizational cost of LLM-assisted coding, not to remove the researcher from the process. Its usefulness will depend on whether it helps research teams make better decisions about data structure, measurement, validation, and documentation. In that role, ChAT can support new analyses of experimental communication, make replication materials more complete, and give students and researchers a practical way to learn what an LLM coding pipeline actually entails. The final authority remains with the research design and the evidence used to validate it.</w:t>
      </w:r>
    </w:p>
    <w:p>
      <w:pPr>
        <w:pStyle w:val="Heading1"/>
      </w:pPr>
      <w:r>
        <w:t>References</w:t>
      </w:r>
    </w:p>
    <w:p>
      <w:pPr>
        <w:spacing w:after="80" w:line="240" w:lineRule="auto"/>
        <w:ind w:left="360" w:hanging="360"/>
      </w:pPr>
      <w:r>
        <w:rPr>
          <w:rFonts w:ascii="Times New Roman" w:hAnsi="Times New Roman"/>
          <w:color w:val="000000"/>
          <w:sz w:val="19"/>
        </w:rPr>
        <w:t>Chen, D. L., Schonger, M., &amp; Wickens, C. (2016). oTree—An open-source platform for laboratory, online, and field experiments. Journal of Behavioral and Experimental Finance, 9, 88–97. https://doi.org/10.1016/j.jbef.2015.12.001</w:t>
      </w:r>
    </w:p>
    <w:p>
      <w:pPr>
        <w:spacing w:after="80" w:line="240" w:lineRule="auto"/>
        <w:ind w:left="360" w:hanging="360"/>
      </w:pPr>
      <w:r>
        <w:rPr>
          <w:rFonts w:ascii="Times New Roman" w:hAnsi="Times New Roman"/>
          <w:color w:val="000000"/>
          <w:sz w:val="19"/>
        </w:rPr>
        <w:t>Gilardi, F., Alizadeh, M., &amp; Kubli, M. (2023). ChatGPT outperforms crowd workers for text-annotation tasks. Proceedings of the National Academy of Sciences, 120(30), e2305016120. https://doi.org/10.1073/pnas.2305016120</w:t>
      </w:r>
    </w:p>
    <w:p>
      <w:pPr>
        <w:spacing w:after="80" w:line="240" w:lineRule="auto"/>
        <w:ind w:left="360" w:hanging="360"/>
      </w:pPr>
      <w:r>
        <w:rPr>
          <w:rFonts w:ascii="Times New Roman" w:hAnsi="Times New Roman"/>
          <w:color w:val="000000"/>
          <w:sz w:val="19"/>
        </w:rPr>
        <w:t>Pangakis, N., Wolken, S., &amp; Fasching, N. (2023). Automated annotation with generative AI requires validation. arXiv:2306.00176. https://doi.org/10.48550/arXiv.2306.00176</w:t>
      </w:r>
    </w:p>
    <w:p>
      <w:pPr>
        <w:spacing w:after="80" w:line="240" w:lineRule="auto"/>
        <w:ind w:left="360" w:hanging="360"/>
      </w:pPr>
      <w:r>
        <w:rPr>
          <w:rFonts w:ascii="Times New Roman" w:hAnsi="Times New Roman"/>
          <w:color w:val="000000"/>
          <w:sz w:val="19"/>
        </w:rPr>
        <w:t>Parra, D., &amp; Aristizabal, S. (2026). Coding open-ended responses with large language models: Evidence from three economic experiments. SSRN working paper. https://ssrn.com/abstract=6805398</w:t>
      </w:r>
    </w:p>
    <w:sectPr w:rsidR="00FC693F" w:rsidRPr="0006063C" w:rsidSect="00034616">
      <w:headerReference w:type="default" r:id="rId9"/>
      <w:footerReference w:type="default" r:id="rId10"/>
      <w:pgSz w:w="12240" w:h="15840"/>
      <w:pgMar w:top="1181" w:right="1267" w:bottom="1181" w:left="1267"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color w:val="50505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i/>
        <w:color w:val="505050"/>
        <w:sz w:val="17"/>
      </w:rPr>
      <w:t>ChAT—A Browser-Based Toolkit for LLM-Assisted Coding of Communication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4" w:lineRule="auto"/>
      <w:ind w:firstLine="403"/>
      <w:jc w:val="both"/>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4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60" w:line="240"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40" w:line="240" w:lineRule="auto"/>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ChAT—A Browser-Based Toolkit for LLM-Assisted Coding of Communication Data</dc:title>
  <dc:subject>Manuscript with Section 2 revised to follow the guided tour</dc:subject>
  <dc:creator>python-docx</dc:creator>
  <cp:keywords>ChAT; communication coding; LLM; reproducibility; research software</cp:keywords>
  <dc:description>Major content revision prioritizing the exact author-supplied sections and substantive outline. Academic manuscript layout; page count intentionally unconstrained.</dc:description>
  <cp:lastModifiedBy/>
  <cp:revision>1</cp:revision>
  <dcterms:created xsi:type="dcterms:W3CDTF">2013-12-23T23:15:00Z</dcterms:created>
  <dcterms:modified xsi:type="dcterms:W3CDTF">2013-12-23T23:15:00Z</dcterms:modified>
  <cp:category/>
</cp:coreProperties>
</file>